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5400"/>
        <w:gridCol w:w="1901"/>
      </w:tblGrid>
      <w:tr>
        <w:trPr>
          <w:trHeight w:val="1253" w:hRule="exact"/>
        </w:trPr>
        <w:tc>
          <w:tcPr>
            <w:tcW w:w="204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1056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  <w:drawing>
                <wp:inline distT="0" distB="0" distL="0" distR="0">
                  <wp:extent cx="896500" cy="671131"/>
                  <wp:effectExtent l="0" t="0" r="0" b="0"/>
                  <wp:docPr id="1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500" cy="671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</w:r>
          </w:p>
        </w:tc>
        <w:tc>
          <w:tcPr>
            <w:tcW w:w="540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5"/>
              <w:ind w:left="96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REGLAMENTARIA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w w:val="105"/>
                <w:sz w:val="21"/>
              </w:rPr>
              <w:t>P - 16 DE</w:t>
            </w:r>
            <w:r>
              <w:rPr>
                <w:rFonts w:ascii="Arial"/>
                <w:b/>
                <w:spacing w:val="-10"/>
                <w:w w:val="105"/>
                <w:sz w:val="21"/>
              </w:rPr>
              <w:t> </w:t>
            </w:r>
            <w:r>
              <w:rPr>
                <w:rFonts w:ascii="Arial"/>
                <w:b/>
                <w:w w:val="105"/>
                <w:sz w:val="21"/>
              </w:rPr>
              <w:t>2015</w:t>
            </w:r>
            <w:r>
              <w:rPr>
                <w:rFonts w:ascii="Arial"/>
                <w:sz w:val="21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78"/>
        <w:ind w:left="559" w:right="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w w:val="105"/>
          <w:sz w:val="21"/>
        </w:rPr>
        <w:t>FECHA:         </w:t>
      </w:r>
      <w:r>
        <w:rPr>
          <w:rFonts w:ascii="Arial" w:hAnsi="Arial"/>
          <w:w w:val="105"/>
          <w:sz w:val="21"/>
        </w:rPr>
        <w:t>Bogotá D.C., 26 de junio de</w:t>
      </w:r>
      <w:r>
        <w:rPr>
          <w:rFonts w:ascii="Arial" w:hAnsi="Arial"/>
          <w:spacing w:val="1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2015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tabs>
          <w:tab w:pos="1969" w:val="left" w:leader="none"/>
        </w:tabs>
        <w:spacing w:line="240" w:lineRule="auto"/>
        <w:ind w:left="559" w:right="0" w:firstLine="0"/>
        <w:jc w:val="both"/>
      </w:pPr>
      <w:r>
        <w:rPr>
          <w:rFonts w:ascii="Arial"/>
          <w:b/>
        </w:rPr>
        <w:t>PARA:</w:t>
        <w:tab/>
      </w:r>
      <w:r>
        <w:rPr>
          <w:w w:val="105"/>
        </w:rPr>
        <w:t>INTERMEDIARIOS</w:t>
      </w:r>
      <w:r>
        <w:rPr>
          <w:spacing w:val="-16"/>
          <w:w w:val="105"/>
        </w:rPr>
        <w:t> </w:t>
      </w:r>
      <w:r>
        <w:rPr>
          <w:w w:val="105"/>
        </w:rPr>
        <w:t>FINANCIEROS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559" w:right="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w w:val="105"/>
          <w:sz w:val="21"/>
        </w:rPr>
        <w:t>ASUNTO:     </w:t>
      </w:r>
      <w:r>
        <w:rPr>
          <w:rFonts w:ascii="Arial"/>
          <w:w w:val="105"/>
          <w:sz w:val="21"/>
        </w:rPr>
        <w:t>MODIFICACION MANUAL DE</w:t>
      </w:r>
      <w:r>
        <w:rPr>
          <w:rFonts w:ascii="Arial"/>
          <w:spacing w:val="11"/>
          <w:w w:val="105"/>
          <w:sz w:val="21"/>
        </w:rPr>
        <w:t> </w:t>
      </w:r>
      <w:r>
        <w:rPr>
          <w:rFonts w:ascii="Arial"/>
          <w:w w:val="105"/>
          <w:sz w:val="21"/>
        </w:rPr>
        <w:t>SERVICIOS</w:t>
      </w:r>
      <w:r>
        <w:rPr>
          <w:rFonts w:asci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9" w:lineRule="auto"/>
        <w:ind w:left="559" w:right="574" w:firstLine="0"/>
        <w:jc w:val="both"/>
      </w:pPr>
      <w:r>
        <w:rPr>
          <w:w w:val="105"/>
        </w:rPr>
        <w:t>De</w:t>
      </w:r>
      <w:r>
        <w:rPr>
          <w:spacing w:val="28"/>
          <w:w w:val="105"/>
        </w:rPr>
        <w:t> </w:t>
      </w:r>
      <w:r>
        <w:rPr>
          <w:w w:val="105"/>
        </w:rPr>
        <w:t>conformidad</w:t>
      </w:r>
      <w:r>
        <w:rPr>
          <w:spacing w:val="28"/>
          <w:w w:val="105"/>
        </w:rPr>
        <w:t> </w:t>
      </w:r>
      <w:r>
        <w:rPr>
          <w:w w:val="105"/>
        </w:rPr>
        <w:t>con</w:t>
      </w:r>
      <w:r>
        <w:rPr>
          <w:spacing w:val="28"/>
          <w:w w:val="105"/>
        </w:rPr>
        <w:t> </w:t>
      </w:r>
      <w:r>
        <w:rPr>
          <w:w w:val="105"/>
        </w:rPr>
        <w:t>lo</w:t>
      </w:r>
      <w:r>
        <w:rPr>
          <w:spacing w:val="28"/>
          <w:w w:val="105"/>
        </w:rPr>
        <w:t> </w:t>
      </w:r>
      <w:r>
        <w:rPr>
          <w:w w:val="105"/>
        </w:rPr>
        <w:t>dispuesto</w:t>
      </w:r>
      <w:r>
        <w:rPr>
          <w:spacing w:val="28"/>
          <w:w w:val="105"/>
        </w:rPr>
        <w:t> </w:t>
      </w:r>
      <w:r>
        <w:rPr>
          <w:w w:val="105"/>
        </w:rPr>
        <w:t>por</w:t>
      </w:r>
      <w:r>
        <w:rPr>
          <w:spacing w:val="27"/>
          <w:w w:val="105"/>
        </w:rPr>
        <w:t> </w:t>
      </w:r>
      <w:r>
        <w:rPr>
          <w:w w:val="105"/>
        </w:rPr>
        <w:t>la</w:t>
      </w:r>
      <w:r>
        <w:rPr>
          <w:spacing w:val="28"/>
          <w:w w:val="105"/>
        </w:rPr>
        <w:t> </w:t>
      </w:r>
      <w:r>
        <w:rPr>
          <w:w w:val="105"/>
        </w:rPr>
        <w:t>Comisión</w:t>
      </w:r>
      <w:r>
        <w:rPr>
          <w:spacing w:val="28"/>
          <w:w w:val="105"/>
        </w:rPr>
        <w:t> </w:t>
      </w:r>
      <w:r>
        <w:rPr>
          <w:w w:val="105"/>
        </w:rPr>
        <w:t>Nacional</w:t>
      </w:r>
      <w:r>
        <w:rPr>
          <w:spacing w:val="26"/>
          <w:w w:val="105"/>
        </w:rPr>
        <w:t> </w:t>
      </w:r>
      <w:r>
        <w:rPr>
          <w:w w:val="105"/>
        </w:rPr>
        <w:t>de</w:t>
      </w:r>
      <w:r>
        <w:rPr>
          <w:spacing w:val="28"/>
          <w:w w:val="105"/>
        </w:rPr>
        <w:t> </w:t>
      </w:r>
      <w:r>
        <w:rPr>
          <w:w w:val="105"/>
        </w:rPr>
        <w:t>Crédito</w:t>
      </w:r>
      <w:r>
        <w:rPr>
          <w:spacing w:val="28"/>
          <w:w w:val="105"/>
        </w:rPr>
        <w:t> </w:t>
      </w:r>
      <w:r>
        <w:rPr>
          <w:w w:val="105"/>
        </w:rPr>
        <w:t>Agropecuario</w:t>
      </w:r>
      <w:r>
        <w:rPr>
          <w:w w:val="102"/>
        </w:rPr>
        <w:t> </w:t>
      </w:r>
      <w:r>
        <w:rPr>
          <w:w w:val="105"/>
        </w:rPr>
        <w:t>mediante Resolución No. 5 de 2015, por medio de la presente Circular</w:t>
      </w:r>
      <w:r>
        <w:rPr>
          <w:spacing w:val="28"/>
          <w:w w:val="105"/>
        </w:rPr>
        <w:t> </w:t>
      </w:r>
      <w:r>
        <w:rPr>
          <w:w w:val="105"/>
        </w:rPr>
        <w:t>Reglamentaria</w:t>
      </w:r>
      <w:r>
        <w:rPr>
          <w:w w:val="102"/>
        </w:rPr>
        <w:t> </w:t>
      </w:r>
      <w:r>
        <w:rPr>
          <w:w w:val="105"/>
        </w:rPr>
        <w:t>se</w:t>
      </w:r>
      <w:r>
        <w:rPr>
          <w:spacing w:val="-5"/>
          <w:w w:val="105"/>
        </w:rPr>
        <w:t> </w:t>
      </w:r>
      <w:r>
        <w:rPr>
          <w:w w:val="105"/>
        </w:rPr>
        <w:t>efectúan</w:t>
      </w:r>
      <w:r>
        <w:rPr>
          <w:spacing w:val="-5"/>
          <w:w w:val="105"/>
        </w:rPr>
        <w:t> </w:t>
      </w:r>
      <w:r>
        <w:rPr>
          <w:w w:val="105"/>
        </w:rPr>
        <w:t>las</w:t>
      </w:r>
      <w:r>
        <w:rPr>
          <w:spacing w:val="-5"/>
          <w:w w:val="105"/>
        </w:rPr>
        <w:t> </w:t>
      </w:r>
      <w:r>
        <w:rPr>
          <w:w w:val="105"/>
        </w:rPr>
        <w:t>siguientes</w:t>
      </w:r>
      <w:r>
        <w:rPr>
          <w:spacing w:val="-5"/>
          <w:w w:val="105"/>
        </w:rPr>
        <w:t> </w:t>
      </w:r>
      <w:r>
        <w:rPr>
          <w:w w:val="105"/>
        </w:rPr>
        <w:t>modificaciones</w:t>
      </w:r>
      <w:r>
        <w:rPr>
          <w:spacing w:val="-5"/>
          <w:w w:val="105"/>
        </w:rPr>
        <w:t> </w:t>
      </w:r>
      <w:r>
        <w:rPr>
          <w:w w:val="105"/>
        </w:rPr>
        <w:t>al</w:t>
      </w:r>
      <w:r>
        <w:rPr>
          <w:spacing w:val="-6"/>
          <w:w w:val="105"/>
        </w:rPr>
        <w:t> </w:t>
      </w:r>
      <w:r>
        <w:rPr>
          <w:w w:val="105"/>
        </w:rPr>
        <w:t>Manual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Servicios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FINAGRO: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w w:val="105"/>
        </w:rPr>
        <w:t>CAPITULO IV -</w:t>
      </w:r>
      <w:r>
        <w:rPr>
          <w:spacing w:val="-17"/>
          <w:w w:val="105"/>
        </w:rPr>
        <w:t> </w:t>
      </w:r>
      <w:r>
        <w:rPr>
          <w:w w:val="105"/>
        </w:rPr>
        <w:t>INCENTIVOS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0"/>
        <w:ind w:left="559" w:right="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w w:val="105"/>
          <w:sz w:val="21"/>
        </w:rPr>
        <w:t>TITULO I - INCENTIVO A LA CAPITALIZACIÓN RURAL -</w:t>
      </w:r>
      <w:r>
        <w:rPr>
          <w:rFonts w:ascii="Arial" w:hAnsi="Arial"/>
          <w:b/>
          <w:spacing w:val="32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ICR.</w:t>
      </w:r>
      <w:r>
        <w:rPr>
          <w:rFonts w:ascii="Arial" w:hAnsi="Arial"/>
          <w:sz w:val="21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ListParagraph"/>
        <w:numPr>
          <w:ilvl w:val="0"/>
          <w:numId w:val="1"/>
        </w:numPr>
        <w:tabs>
          <w:tab w:pos="1280" w:val="left" w:leader="none"/>
        </w:tabs>
        <w:spacing w:line="240" w:lineRule="auto" w:before="0" w:after="0"/>
        <w:ind w:left="1280" w:right="0" w:hanging="36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En la </w:t>
      </w:r>
      <w:r>
        <w:rPr>
          <w:rFonts w:ascii="Arial" w:hAnsi="Arial"/>
          <w:b/>
          <w:w w:val="105"/>
          <w:sz w:val="21"/>
        </w:rPr>
        <w:t>página 4 </w:t>
      </w:r>
      <w:r>
        <w:rPr>
          <w:rFonts w:ascii="Arial" w:hAnsi="Arial"/>
          <w:w w:val="105"/>
          <w:sz w:val="21"/>
        </w:rPr>
        <w:t>se aclara lo relativo a los beneficiarios del</w:t>
      </w:r>
      <w:r>
        <w:rPr>
          <w:rFonts w:ascii="Arial" w:hAnsi="Arial"/>
          <w:spacing w:val="-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Incentivo.</w:t>
      </w:r>
      <w:r>
        <w:rPr>
          <w:rFonts w:ascii="Arial" w:hAnsi="Arial"/>
          <w:sz w:val="21"/>
        </w:rPr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0"/>
          <w:numId w:val="1"/>
        </w:numPr>
        <w:tabs>
          <w:tab w:pos="1280" w:val="left" w:leader="none"/>
        </w:tabs>
        <w:spacing w:line="252" w:lineRule="auto" w:before="0" w:after="0"/>
        <w:ind w:left="1280" w:right="573" w:hanging="36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En</w:t>
      </w:r>
      <w:r>
        <w:rPr>
          <w:rFonts w:ascii="Arial" w:hAnsi="Arial"/>
          <w:spacing w:val="4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la</w:t>
      </w:r>
      <w:r>
        <w:rPr>
          <w:rFonts w:ascii="Arial" w:hAnsi="Arial"/>
          <w:spacing w:val="46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página</w:t>
      </w:r>
      <w:r>
        <w:rPr>
          <w:rFonts w:ascii="Arial" w:hAnsi="Arial"/>
          <w:b/>
          <w:spacing w:val="46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6</w:t>
      </w:r>
      <w:r>
        <w:rPr>
          <w:rFonts w:ascii="Arial" w:hAnsi="Arial"/>
          <w:b/>
          <w:spacing w:val="4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se</w:t>
      </w:r>
      <w:r>
        <w:rPr>
          <w:rFonts w:ascii="Arial" w:hAnsi="Arial"/>
          <w:spacing w:val="4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precisa</w:t>
      </w:r>
      <w:r>
        <w:rPr>
          <w:rFonts w:ascii="Arial" w:hAnsi="Arial"/>
          <w:spacing w:val="4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lo</w:t>
      </w:r>
      <w:r>
        <w:rPr>
          <w:rFonts w:ascii="Arial" w:hAnsi="Arial"/>
          <w:spacing w:val="4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referente</w:t>
      </w:r>
      <w:r>
        <w:rPr>
          <w:rFonts w:ascii="Arial" w:hAnsi="Arial"/>
          <w:spacing w:val="4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</w:t>
      </w:r>
      <w:r>
        <w:rPr>
          <w:rFonts w:ascii="Arial" w:hAnsi="Arial"/>
          <w:spacing w:val="4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la</w:t>
      </w:r>
      <w:r>
        <w:rPr>
          <w:rFonts w:ascii="Arial" w:hAnsi="Arial"/>
          <w:spacing w:val="4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terminación</w:t>
      </w:r>
      <w:r>
        <w:rPr>
          <w:rFonts w:ascii="Arial" w:hAnsi="Arial"/>
          <w:spacing w:val="4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4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las</w:t>
      </w:r>
      <w:r>
        <w:rPr>
          <w:rFonts w:ascii="Arial" w:hAnsi="Arial"/>
          <w:spacing w:val="4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inversiones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financiadas con contratos leasing, y lo relacionado con que la imposibilidad</w:t>
      </w:r>
      <w:r>
        <w:rPr>
          <w:rFonts w:ascii="Arial" w:hAnsi="Arial"/>
          <w:spacing w:val="3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acceder</w:t>
      </w:r>
      <w:r>
        <w:rPr>
          <w:rFonts w:ascii="Arial" w:hAnsi="Arial"/>
          <w:spacing w:val="3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</w:t>
      </w:r>
      <w:r>
        <w:rPr>
          <w:rFonts w:ascii="Arial" w:hAnsi="Arial"/>
          <w:spacing w:val="3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más</w:t>
      </w:r>
      <w:r>
        <w:rPr>
          <w:rFonts w:ascii="Arial" w:hAnsi="Arial"/>
          <w:spacing w:val="3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3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una</w:t>
      </w:r>
      <w:r>
        <w:rPr>
          <w:rFonts w:ascii="Arial" w:hAnsi="Arial"/>
          <w:spacing w:val="3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inscripción</w:t>
      </w:r>
      <w:r>
        <w:rPr>
          <w:rFonts w:ascii="Arial" w:hAnsi="Arial"/>
          <w:spacing w:val="3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en</w:t>
      </w:r>
      <w:r>
        <w:rPr>
          <w:rFonts w:ascii="Arial" w:hAnsi="Arial"/>
          <w:spacing w:val="3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el</w:t>
      </w:r>
      <w:r>
        <w:rPr>
          <w:rFonts w:ascii="Arial" w:hAnsi="Arial"/>
          <w:spacing w:val="3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mismo</w:t>
      </w:r>
      <w:r>
        <w:rPr>
          <w:rFonts w:ascii="Arial" w:hAnsi="Arial"/>
          <w:spacing w:val="3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año</w:t>
      </w:r>
      <w:r>
        <w:rPr>
          <w:rFonts w:ascii="Arial" w:hAnsi="Arial"/>
          <w:spacing w:val="3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también</w:t>
      </w:r>
      <w:r>
        <w:rPr>
          <w:rFonts w:ascii="Arial" w:hAnsi="Arial"/>
          <w:spacing w:val="3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aplica</w:t>
      </w:r>
      <w:r>
        <w:rPr>
          <w:rFonts w:ascii="Arial" w:hAnsi="Arial"/>
          <w:spacing w:val="3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para</w:t>
      </w:r>
      <w:r>
        <w:rPr>
          <w:rFonts w:ascii="Arial" w:hAnsi="Arial"/>
          <w:spacing w:val="3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los</w:t>
      </w:r>
      <w:r>
        <w:rPr>
          <w:rFonts w:ascii="Arial" w:hAnsi="Arial"/>
          <w:spacing w:val="2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productores que hagan parte de cualquier esquema asociativo y</w:t>
      </w:r>
      <w:r>
        <w:rPr>
          <w:rFonts w:ascii="Arial" w:hAnsi="Arial"/>
          <w:spacing w:val="2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2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agrupamientos de productores que pueden acceder al</w:t>
      </w:r>
      <w:r>
        <w:rPr>
          <w:rFonts w:ascii="Arial" w:hAnsi="Arial"/>
          <w:spacing w:val="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ICR.</w:t>
      </w:r>
      <w:r>
        <w:rPr>
          <w:rFonts w:ascii="Arial" w:hAnsi="Arial"/>
          <w:sz w:val="21"/>
        </w:rPr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0"/>
          <w:numId w:val="1"/>
        </w:numPr>
        <w:tabs>
          <w:tab w:pos="1280" w:val="left" w:leader="none"/>
        </w:tabs>
        <w:spacing w:line="249" w:lineRule="auto" w:before="0" w:after="0"/>
        <w:ind w:left="1280" w:right="576" w:hanging="36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Se</w:t>
      </w:r>
      <w:r>
        <w:rPr>
          <w:rFonts w:ascii="Arial" w:hAnsi="Arial"/>
          <w:spacing w:val="2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modifica</w:t>
      </w:r>
      <w:r>
        <w:rPr>
          <w:rFonts w:ascii="Arial" w:hAnsi="Arial"/>
          <w:spacing w:val="2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la</w:t>
      </w:r>
      <w:r>
        <w:rPr>
          <w:rFonts w:ascii="Arial" w:hAnsi="Arial"/>
          <w:spacing w:val="20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página</w:t>
      </w:r>
      <w:r>
        <w:rPr>
          <w:rFonts w:ascii="Arial" w:hAnsi="Arial"/>
          <w:b/>
          <w:spacing w:val="20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7</w:t>
      </w:r>
      <w:r>
        <w:rPr>
          <w:rFonts w:ascii="Arial" w:hAnsi="Arial"/>
          <w:b/>
          <w:spacing w:val="2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el</w:t>
      </w:r>
      <w:r>
        <w:rPr>
          <w:rFonts w:ascii="Arial" w:hAnsi="Arial"/>
          <w:spacing w:val="1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monto</w:t>
      </w:r>
      <w:r>
        <w:rPr>
          <w:rFonts w:ascii="Arial" w:hAnsi="Arial"/>
          <w:spacing w:val="2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máximo</w:t>
      </w:r>
      <w:r>
        <w:rPr>
          <w:rFonts w:ascii="Arial" w:hAnsi="Arial"/>
          <w:spacing w:val="2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2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ICR</w:t>
      </w:r>
      <w:r>
        <w:rPr>
          <w:rFonts w:ascii="Arial" w:hAnsi="Arial"/>
          <w:spacing w:val="2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al</w:t>
      </w:r>
      <w:r>
        <w:rPr>
          <w:rFonts w:ascii="Arial" w:hAnsi="Arial"/>
          <w:spacing w:val="1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que</w:t>
      </w:r>
      <w:r>
        <w:rPr>
          <w:rFonts w:ascii="Arial" w:hAnsi="Arial"/>
          <w:spacing w:val="2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pueden</w:t>
      </w:r>
      <w:r>
        <w:rPr>
          <w:rFonts w:ascii="Arial" w:hAnsi="Arial"/>
          <w:spacing w:val="2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acceder</w:t>
      </w:r>
      <w:r>
        <w:rPr>
          <w:rFonts w:ascii="Arial" w:hAnsi="Arial"/>
          <w:spacing w:val="1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los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productores dependiendo el esquema o tipo de agrupamiento que</w:t>
      </w:r>
      <w:r>
        <w:rPr>
          <w:rFonts w:ascii="Arial" w:hAnsi="Arial"/>
          <w:spacing w:val="-2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conformen.</w:t>
      </w:r>
      <w:r>
        <w:rPr>
          <w:rFonts w:ascii="Arial" w:hAnsi="Arial"/>
          <w:sz w:val="21"/>
        </w:rPr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0"/>
          <w:numId w:val="1"/>
        </w:numPr>
        <w:tabs>
          <w:tab w:pos="1280" w:val="left" w:leader="none"/>
        </w:tabs>
        <w:spacing w:line="252" w:lineRule="auto" w:before="0" w:after="0"/>
        <w:ind w:left="1280" w:right="575" w:hanging="36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En la </w:t>
      </w:r>
      <w:r>
        <w:rPr>
          <w:rFonts w:ascii="Arial" w:hAnsi="Arial"/>
          <w:b/>
          <w:w w:val="105"/>
          <w:sz w:val="21"/>
        </w:rPr>
        <w:t>página 8 </w:t>
      </w:r>
      <w:r>
        <w:rPr>
          <w:rFonts w:ascii="Arial" w:hAnsi="Arial"/>
          <w:w w:val="105"/>
          <w:sz w:val="21"/>
        </w:rPr>
        <w:t>se precisa lo relacionado con la evaluación del riesgo</w:t>
      </w:r>
      <w:r>
        <w:rPr>
          <w:rFonts w:ascii="Arial" w:hAnsi="Arial"/>
          <w:spacing w:val="2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crediticio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en</w:t>
      </w:r>
      <w:r>
        <w:rPr>
          <w:rFonts w:ascii="Arial" w:hAnsi="Arial"/>
          <w:spacing w:val="1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proyectos</w:t>
      </w:r>
      <w:r>
        <w:rPr>
          <w:rFonts w:ascii="Arial" w:hAnsi="Arial"/>
          <w:spacing w:val="1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con</w:t>
      </w:r>
      <w:r>
        <w:rPr>
          <w:rFonts w:ascii="Arial" w:hAnsi="Arial"/>
          <w:spacing w:val="1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acceso</w:t>
      </w:r>
      <w:r>
        <w:rPr>
          <w:rFonts w:ascii="Arial" w:hAnsi="Arial"/>
          <w:spacing w:val="1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al</w:t>
      </w:r>
      <w:r>
        <w:rPr>
          <w:rFonts w:ascii="Arial" w:hAnsi="Arial"/>
          <w:spacing w:val="1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Incentivo,</w:t>
      </w:r>
      <w:r>
        <w:rPr>
          <w:rFonts w:ascii="Arial" w:hAnsi="Arial"/>
          <w:spacing w:val="1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y</w:t>
      </w:r>
      <w:r>
        <w:rPr>
          <w:rFonts w:ascii="Arial" w:hAnsi="Arial"/>
          <w:spacing w:val="1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se</w:t>
      </w:r>
      <w:r>
        <w:rPr>
          <w:rFonts w:ascii="Arial" w:hAnsi="Arial"/>
          <w:spacing w:val="1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efectúa</w:t>
      </w:r>
      <w:r>
        <w:rPr>
          <w:rFonts w:ascii="Arial" w:hAnsi="Arial"/>
          <w:spacing w:val="1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una</w:t>
      </w:r>
      <w:r>
        <w:rPr>
          <w:rFonts w:ascii="Arial" w:hAnsi="Arial"/>
          <w:spacing w:val="1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modificación</w:t>
      </w:r>
      <w:r>
        <w:rPr>
          <w:rFonts w:ascii="Arial" w:hAnsi="Arial"/>
          <w:spacing w:val="1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respecto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del plazo para ejecutar las inversiones con acceso al</w:t>
      </w:r>
      <w:r>
        <w:rPr>
          <w:rFonts w:ascii="Arial" w:hAnsi="Arial"/>
          <w:spacing w:val="-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ICR.</w:t>
      </w:r>
      <w:r>
        <w:rPr>
          <w:rFonts w:ascii="Arial" w:hAnsi="Arial"/>
          <w:sz w:val="21"/>
        </w:rPr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0"/>
          <w:numId w:val="1"/>
        </w:numPr>
        <w:tabs>
          <w:tab w:pos="1280" w:val="left" w:leader="none"/>
        </w:tabs>
        <w:spacing w:line="249" w:lineRule="auto" w:before="0" w:after="0"/>
        <w:ind w:left="1280" w:right="576" w:hanging="36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En la </w:t>
      </w:r>
      <w:r>
        <w:rPr>
          <w:rFonts w:ascii="Arial" w:hAnsi="Arial"/>
          <w:b/>
          <w:w w:val="105"/>
          <w:sz w:val="21"/>
        </w:rPr>
        <w:t>página 11 </w:t>
      </w:r>
      <w:r>
        <w:rPr>
          <w:rFonts w:ascii="Arial" w:hAnsi="Arial"/>
          <w:w w:val="105"/>
          <w:sz w:val="21"/>
        </w:rPr>
        <w:t>se incluye el plazo que tienen los intermediarios financieros</w:t>
      </w:r>
      <w:r>
        <w:rPr>
          <w:rFonts w:ascii="Arial" w:hAnsi="Arial"/>
          <w:spacing w:val="1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y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los productores para presentar reconsideraciones ante</w:t>
      </w:r>
      <w:r>
        <w:rPr>
          <w:rFonts w:ascii="Arial" w:hAnsi="Arial"/>
          <w:spacing w:val="-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FINAGRO.</w:t>
      </w:r>
      <w:r>
        <w:rPr>
          <w:rFonts w:ascii="Arial" w:hAnsi="Arial"/>
          <w:sz w:val="21"/>
        </w:rPr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0"/>
          <w:numId w:val="1"/>
        </w:numPr>
        <w:tabs>
          <w:tab w:pos="1280" w:val="left" w:leader="none"/>
        </w:tabs>
        <w:spacing w:line="249" w:lineRule="auto" w:before="0" w:after="0"/>
        <w:ind w:left="1280" w:right="573" w:hanging="36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En las </w:t>
      </w:r>
      <w:r>
        <w:rPr>
          <w:rFonts w:ascii="Arial" w:hAnsi="Arial"/>
          <w:b/>
          <w:w w:val="105"/>
          <w:sz w:val="21"/>
        </w:rPr>
        <w:t>páginas 13 </w:t>
      </w:r>
      <w:r>
        <w:rPr>
          <w:rFonts w:ascii="Arial" w:hAnsi="Arial"/>
          <w:w w:val="105"/>
          <w:sz w:val="21"/>
        </w:rPr>
        <w:t>y </w:t>
      </w:r>
      <w:r>
        <w:rPr>
          <w:rFonts w:ascii="Arial" w:hAnsi="Arial"/>
          <w:b/>
          <w:w w:val="105"/>
          <w:sz w:val="21"/>
        </w:rPr>
        <w:t>14 </w:t>
      </w:r>
      <w:r>
        <w:rPr>
          <w:rFonts w:ascii="Arial" w:hAnsi="Arial"/>
          <w:w w:val="105"/>
          <w:sz w:val="21"/>
        </w:rPr>
        <w:t>se modifican los cuadros 4.1 y 4.2 para precisar</w:t>
      </w:r>
      <w:r>
        <w:rPr>
          <w:rFonts w:ascii="Arial" w:hAnsi="Arial"/>
          <w:spacing w:val="5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monto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máximo, porcentajes de reconocimiento del ICR y Bolsas que aplican por</w:t>
      </w:r>
      <w:r>
        <w:rPr>
          <w:rFonts w:ascii="Arial" w:hAnsi="Arial"/>
          <w:spacing w:val="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tipo</w:t>
      </w:r>
      <w:r>
        <w:rPr>
          <w:rFonts w:ascii="Arial" w:hAnsi="Arial"/>
          <w:spacing w:val="2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productor.</w:t>
      </w:r>
      <w:r>
        <w:rPr>
          <w:rFonts w:ascii="Arial" w:hAnsi="Arial"/>
          <w:sz w:val="21"/>
        </w:rPr>
      </w: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0"/>
          <w:numId w:val="1"/>
        </w:numPr>
        <w:tabs>
          <w:tab w:pos="1280" w:val="left" w:leader="none"/>
        </w:tabs>
        <w:spacing w:line="249" w:lineRule="auto" w:before="0" w:after="0"/>
        <w:ind w:left="1280" w:right="573" w:hanging="36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En las </w:t>
      </w:r>
      <w:r>
        <w:rPr>
          <w:rFonts w:ascii="Arial" w:hAnsi="Arial"/>
          <w:b/>
          <w:w w:val="105"/>
          <w:sz w:val="21"/>
        </w:rPr>
        <w:t>páginas 24 </w:t>
      </w:r>
      <w:r>
        <w:rPr>
          <w:rFonts w:ascii="Arial" w:hAnsi="Arial"/>
          <w:w w:val="105"/>
          <w:sz w:val="21"/>
        </w:rPr>
        <w:t>y </w:t>
      </w:r>
      <w:r>
        <w:rPr>
          <w:rFonts w:ascii="Arial" w:hAnsi="Arial"/>
          <w:b/>
          <w:w w:val="105"/>
          <w:sz w:val="21"/>
        </w:rPr>
        <w:t>27 </w:t>
      </w:r>
      <w:r>
        <w:rPr>
          <w:rFonts w:ascii="Arial" w:hAnsi="Arial"/>
          <w:w w:val="105"/>
          <w:sz w:val="21"/>
        </w:rPr>
        <w:t>se incluye un componente del Rubro</w:t>
      </w:r>
      <w:r>
        <w:rPr>
          <w:rFonts w:ascii="Arial" w:hAnsi="Arial"/>
          <w:spacing w:val="5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Equipos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Pecuarios dentro de las Bolsas de Infraestructura para la</w:t>
      </w:r>
      <w:r>
        <w:rPr>
          <w:rFonts w:ascii="Arial" w:hAnsi="Arial"/>
          <w:spacing w:val="5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Producción,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Maquinaria de Uso Agropecuario y Transformación Primaria y</w:t>
      </w:r>
      <w:r>
        <w:rPr>
          <w:rFonts w:ascii="Arial" w:hAnsi="Arial"/>
          <w:spacing w:val="4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CONPES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Lácteo.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52" w:lineRule="auto"/>
        <w:ind w:left="559" w:right="447" w:firstLine="0"/>
        <w:jc w:val="left"/>
      </w:pPr>
      <w:r>
        <w:rPr>
          <w:w w:val="105"/>
        </w:rPr>
        <w:t>Como ya es habitual, se envía en su totalidad el Capítulo IV y no sólo las páginas</w:t>
      </w:r>
      <w:r>
        <w:rPr>
          <w:spacing w:val="25"/>
          <w:w w:val="105"/>
        </w:rPr>
        <w:t> </w:t>
      </w:r>
      <w:r>
        <w:rPr>
          <w:w w:val="105"/>
        </w:rPr>
        <w:t>que</w:t>
      </w:r>
      <w:r>
        <w:rPr>
          <w:spacing w:val="2"/>
          <w:w w:val="102"/>
        </w:rPr>
        <w:t> </w:t>
      </w:r>
      <w:r>
        <w:rPr>
          <w:w w:val="105"/>
        </w:rPr>
        <w:t>se</w:t>
      </w:r>
      <w:r>
        <w:rPr>
          <w:spacing w:val="-10"/>
          <w:w w:val="105"/>
        </w:rPr>
        <w:t> </w:t>
      </w:r>
      <w:r>
        <w:rPr>
          <w:w w:val="105"/>
        </w:rPr>
        <w:t>modificaron.</w:t>
      </w:r>
      <w:r>
        <w:rPr/>
      </w:r>
    </w:p>
    <w:p>
      <w:pPr>
        <w:spacing w:after="0" w:line="252" w:lineRule="auto"/>
        <w:jc w:val="left"/>
        <w:sectPr>
          <w:footerReference w:type="default" r:id="rId5"/>
          <w:type w:val="continuous"/>
          <w:pgSz w:w="11900" w:h="16840"/>
          <w:pgMar w:footer="877" w:top="640" w:bottom="1060" w:left="1140" w:right="1120"/>
          <w:pgNumType w:start="1"/>
        </w:sectPr>
      </w:pPr>
    </w:p>
    <w:p>
      <w:pPr>
        <w:spacing w:line="240" w:lineRule="auto" w:before="0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5400"/>
        <w:gridCol w:w="1901"/>
      </w:tblGrid>
      <w:tr>
        <w:trPr>
          <w:trHeight w:val="1253" w:hRule="exact"/>
        </w:trPr>
        <w:tc>
          <w:tcPr>
            <w:tcW w:w="204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</w:p>
          <w:p>
            <w:pPr>
              <w:pStyle w:val="TableParagraph"/>
              <w:spacing w:line="1056" w:lineRule="exact"/>
              <w:ind w:left="2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896500" cy="671131"/>
                  <wp:effectExtent l="0" t="0" r="0" b="0"/>
                  <wp:docPr id="3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500" cy="671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5"/>
              <w:ind w:left="96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REGLAMENTARIA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w w:val="105"/>
                <w:sz w:val="21"/>
              </w:rPr>
              <w:t>P - 16 DE</w:t>
            </w:r>
            <w:r>
              <w:rPr>
                <w:rFonts w:ascii="Arial"/>
                <w:b/>
                <w:spacing w:val="-10"/>
                <w:w w:val="105"/>
                <w:sz w:val="21"/>
              </w:rPr>
              <w:t> </w:t>
            </w:r>
            <w:r>
              <w:rPr>
                <w:rFonts w:ascii="Arial"/>
                <w:b/>
                <w:w w:val="105"/>
                <w:sz w:val="21"/>
              </w:rPr>
              <w:t>2015</w:t>
            </w:r>
            <w:r>
              <w:rPr>
                <w:rFonts w:ascii="Arial"/>
                <w:sz w:val="21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7" w:lineRule="auto" w:before="78"/>
        <w:ind w:left="559" w:right="447" w:firstLine="0"/>
        <w:jc w:val="left"/>
      </w:pPr>
      <w:r>
        <w:rPr>
          <w:w w:val="105"/>
        </w:rPr>
        <w:t>Cualquier consulta sobre el particular será atendida por la Vicepresidencia</w:t>
      </w:r>
      <w:r>
        <w:rPr>
          <w:spacing w:val="46"/>
          <w:w w:val="105"/>
        </w:rPr>
        <w:t> </w:t>
      </w:r>
      <w:r>
        <w:rPr>
          <w:w w:val="105"/>
        </w:rPr>
        <w:t>de</w:t>
      </w:r>
      <w:r>
        <w:rPr>
          <w:w w:val="102"/>
        </w:rPr>
        <w:t> </w:t>
      </w:r>
      <w:r>
        <w:rPr>
          <w:w w:val="105"/>
        </w:rPr>
        <w:t>Operaciones, la Gerencia Comercial y la Dirección de Crédito e</w:t>
      </w:r>
      <w:r>
        <w:rPr>
          <w:spacing w:val="-40"/>
          <w:w w:val="105"/>
        </w:rPr>
        <w:t> </w:t>
      </w:r>
      <w:r>
        <w:rPr>
          <w:w w:val="105"/>
        </w:rPr>
        <w:t>ICR.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559" w:right="447" w:firstLine="0"/>
        <w:jc w:val="left"/>
      </w:pPr>
      <w:r>
        <w:rPr>
          <w:w w:val="105"/>
        </w:rPr>
        <w:t>Cordial</w:t>
      </w:r>
      <w:r>
        <w:rPr>
          <w:spacing w:val="-10"/>
          <w:w w:val="105"/>
        </w:rPr>
        <w:t> </w:t>
      </w:r>
      <w:r>
        <w:rPr>
          <w:w w:val="105"/>
        </w:rPr>
        <w:t>saludo,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3"/>
          <w:szCs w:val="23"/>
        </w:rPr>
      </w:pPr>
    </w:p>
    <w:p>
      <w:pPr>
        <w:pStyle w:val="Heading1"/>
        <w:spacing w:line="240" w:lineRule="auto"/>
        <w:ind w:right="447"/>
        <w:jc w:val="left"/>
        <w:rPr>
          <w:b w:val="0"/>
          <w:bCs w:val="0"/>
        </w:rPr>
      </w:pPr>
      <w:r>
        <w:rPr>
          <w:w w:val="105"/>
        </w:rPr>
        <w:t>LUIS ENRIQUE DUSSÁN</w:t>
      </w:r>
      <w:r>
        <w:rPr>
          <w:spacing w:val="-21"/>
          <w:w w:val="105"/>
        </w:rPr>
        <w:t> </w:t>
      </w:r>
      <w:r>
        <w:rPr>
          <w:w w:val="105"/>
        </w:rPr>
        <w:t>LÓPEZ</w:t>
      </w:r>
      <w:r>
        <w:rPr>
          <w:b w:val="0"/>
        </w:rPr>
      </w:r>
    </w:p>
    <w:p>
      <w:pPr>
        <w:pStyle w:val="BodyText"/>
        <w:spacing w:line="240" w:lineRule="auto" w:before="13"/>
        <w:ind w:left="559" w:right="447" w:firstLine="0"/>
        <w:jc w:val="left"/>
      </w:pPr>
      <w:r>
        <w:rPr>
          <w:w w:val="105"/>
        </w:rPr>
        <w:t>Presidente</w:t>
      </w:r>
      <w:r>
        <w:rPr/>
      </w:r>
    </w:p>
    <w:sectPr>
      <w:pgSz w:w="11900" w:h="16840"/>
      <w:pgMar w:header="0" w:footer="877" w:top="640" w:bottom="1060" w:left="114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5.740387pt;margin-top:787.146545pt;width:63.65pt;height:11.85pt;mso-position-horizontal-relative:page;mso-position-vertical-relative:page;z-index:-3760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/>
                    <w:spacing w:val="2"/>
                    <w:w w:val="103"/>
                    <w:sz w:val="19"/>
                  </w:rPr>
                  <w:t>P</w:t>
                </w:r>
                <w:r>
                  <w:rPr>
                    <w:rFonts w:ascii="Arial" w:hAnsi="Arial"/>
                    <w:spacing w:val="1"/>
                    <w:w w:val="103"/>
                    <w:sz w:val="19"/>
                  </w:rPr>
                  <w:t>á</w:t>
                </w:r>
                <w:r>
                  <w:rPr>
                    <w:rFonts w:ascii="Arial" w:hAnsi="Arial"/>
                    <w:spacing w:val="1"/>
                    <w:w w:val="103"/>
                    <w:sz w:val="19"/>
                  </w:rPr>
                  <w:t>g</w:t>
                </w:r>
                <w:r>
                  <w:rPr>
                    <w:rFonts w:ascii="Arial" w:hAnsi="Arial"/>
                    <w:w w:val="103"/>
                    <w:sz w:val="19"/>
                  </w:rPr>
                  <w:t>i</w:t>
                </w:r>
                <w:r>
                  <w:rPr>
                    <w:rFonts w:ascii="Arial" w:hAnsi="Arial"/>
                    <w:spacing w:val="1"/>
                    <w:w w:val="103"/>
                    <w:sz w:val="19"/>
                  </w:rPr>
                  <w:t>n</w:t>
                </w:r>
                <w:r>
                  <w:rPr>
                    <w:rFonts w:ascii="Arial" w:hAnsi="Arial"/>
                    <w:w w:val="103"/>
                    <w:sz w:val="19"/>
                  </w:rPr>
                  <w:t>a</w:t>
                </w:r>
                <w:r>
                  <w:rPr>
                    <w:rFonts w:ascii="Arial" w:hAnsi="Arial"/>
                    <w:spacing w:val="4"/>
                    <w:sz w:val="19"/>
                  </w:rPr>
                  <w:t> </w:t>
                </w:r>
                <w:r>
                  <w:rPr>
                    <w:rFonts w:ascii="Arial" w:hAnsi="Arial"/>
                    <w:w w:val="103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w w:val="103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pacing w:val="4"/>
                    <w:sz w:val="19"/>
                  </w:rPr>
                  <w:t> </w:t>
                </w:r>
                <w:r>
                  <w:rPr>
                    <w:rFonts w:ascii="Arial" w:hAnsi="Arial"/>
                    <w:spacing w:val="1"/>
                    <w:w w:val="103"/>
                    <w:sz w:val="19"/>
                  </w:rPr>
                  <w:t>d</w:t>
                </w:r>
                <w:r>
                  <w:rPr>
                    <w:rFonts w:ascii="Arial" w:hAnsi="Arial"/>
                    <w:w w:val="103"/>
                    <w:sz w:val="19"/>
                  </w:rPr>
                  <w:t>e</w:t>
                </w:r>
                <w:r>
                  <w:rPr>
                    <w:rFonts w:ascii="Arial" w:hAnsi="Arial"/>
                    <w:spacing w:val="4"/>
                    <w:sz w:val="19"/>
                  </w:rPr>
                  <w:t> </w:t>
                </w:r>
                <w:r>
                  <w:rPr>
                    <w:rFonts w:ascii="Arial" w:hAnsi="Arial"/>
                    <w:w w:val="103"/>
                    <w:sz w:val="19"/>
                  </w:rPr>
                  <w:t>2</w:t>
                </w:r>
                <w:r>
                  <w:rPr>
                    <w:rFonts w:ascii="Arial" w:hAnsi="Arial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1280" w:hanging="360"/>
      </w:pPr>
      <w:rPr>
        <w:rFonts w:hint="default" w:ascii="Symbol" w:hAnsi="Symbol" w:eastAsia="Symbol"/>
        <w:w w:val="102"/>
        <w:sz w:val="21"/>
        <w:szCs w:val="21"/>
      </w:rPr>
    </w:lvl>
    <w:lvl w:ilvl="1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5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80" w:hanging="360"/>
    </w:pPr>
    <w:rPr>
      <w:rFonts w:ascii="Arial" w:hAnsi="Arial" w:eastAsia="Arial"/>
      <w:sz w:val="21"/>
      <w:szCs w:val="21"/>
    </w:rPr>
  </w:style>
  <w:style w:styleId="Heading1" w:type="paragraph">
    <w:name w:val="Heading 1"/>
    <w:basedOn w:val="Normal"/>
    <w:uiPriority w:val="1"/>
    <w:qFormat/>
    <w:pPr>
      <w:ind w:left="559"/>
      <w:outlineLvl w:val="1"/>
    </w:pPr>
    <w:rPr>
      <w:rFonts w:ascii="Arial" w:hAnsi="Arial" w:eastAsia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Alexander Rodriguez</dc:creator>
  <dc:title>Microsoft Word - CIRCULAR_REGLAMENTARIA_P_16.docx</dc:title>
  <dcterms:created xsi:type="dcterms:W3CDTF">2015-06-30T13:38:59Z</dcterms:created>
  <dcterms:modified xsi:type="dcterms:W3CDTF">2015-06-30T13:38:59Z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2015-06-26T00:00:00Z</vt:filetime>
  </property>
  <property fmtid="{D5CDD505-2E9C-101B-9397-08002B2CF9AE}" pid="3" name="Creator">
    <vt:lpwstr>Word</vt:lpwstr>
  </property>
  <property fmtid="{D5CDD505-2E9C-101B-9397-08002B2CF9AE}" pid="4" name="LastSaved">
    <vt:filetime>2015-06-30T00:00:00Z</vt:filetime>
  </property>
</Properties>
</file>