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- 15  DE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38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FECHA:          </w:t>
      </w:r>
      <w:r>
        <w:rPr>
          <w:rFonts w:ascii="Arial" w:hAnsi="Arial"/>
          <w:sz w:val="22"/>
        </w:rPr>
        <w:t>Bogotá D.C., 20 de mayo de</w:t>
      </w:r>
      <w:r>
        <w:rPr>
          <w:rFonts w:ascii="Arial" w:hAnsi="Arial"/>
          <w:spacing w:val="-35"/>
          <w:sz w:val="22"/>
        </w:rPr>
        <w:t> </w:t>
      </w:r>
      <w:r>
        <w:rPr>
          <w:rFonts w:ascii="Arial" w:hAnsi="Arial"/>
          <w:sz w:val="22"/>
        </w:rPr>
        <w:t>2015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793" w:val="left" w:leader="none"/>
        </w:tabs>
        <w:spacing w:line="240" w:lineRule="auto"/>
        <w:ind w:left="382" w:right="0" w:firstLine="0"/>
        <w:jc w:val="both"/>
      </w:pPr>
      <w:r>
        <w:rPr>
          <w:rFonts w:ascii="Arial"/>
          <w:b/>
          <w:spacing w:val="-2"/>
        </w:rPr>
        <w:t>PARA:</w:t>
        <w:tab/>
      </w:r>
      <w:r>
        <w:rPr>
          <w:spacing w:val="-1"/>
        </w:rPr>
        <w:t>INTERMEDIARIOS</w:t>
      </w:r>
      <w:r>
        <w:rPr>
          <w:spacing w:val="21"/>
        </w:rPr>
        <w:t> </w:t>
      </w:r>
      <w:r>
        <w:rPr>
          <w:spacing w:val="-2"/>
        </w:rPr>
        <w:t>FINANCIEROS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8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ASUNTO:      </w:t>
      </w:r>
      <w:r>
        <w:rPr>
          <w:rFonts w:ascii="Arial"/>
          <w:sz w:val="22"/>
        </w:rPr>
        <w:t>MODIFICACION DEL MANUAL DE</w:t>
      </w:r>
      <w:r>
        <w:rPr>
          <w:rFonts w:ascii="Arial"/>
          <w:spacing w:val="-34"/>
          <w:sz w:val="22"/>
        </w:rPr>
        <w:t> </w:t>
      </w:r>
      <w:r>
        <w:rPr>
          <w:rFonts w:ascii="Arial"/>
          <w:sz w:val="22"/>
        </w:rPr>
        <w:t>SERVICIOS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82" w:right="396" w:firstLine="0"/>
        <w:jc w:val="both"/>
      </w:pPr>
      <w:r>
        <w:rPr/>
        <w:t>Con el propósito de adelantar algunos aspectos que se encuentran definidos en el</w:t>
      </w:r>
      <w:r>
        <w:rPr>
          <w:spacing w:val="37"/>
        </w:rPr>
        <w:t> </w:t>
      </w:r>
      <w:r>
        <w:rPr/>
        <w:t>Nuevo</w:t>
      </w:r>
      <w:r>
        <w:rPr>
          <w:w w:val="100"/>
        </w:rPr>
        <w:t> </w:t>
      </w:r>
      <w:r>
        <w:rPr/>
        <w:t>Modelo del FAG, por medio de la presente Circular Reglamentaria se efectúan</w:t>
      </w:r>
      <w:r>
        <w:rPr>
          <w:spacing w:val="27"/>
        </w:rPr>
        <w:t> </w:t>
      </w:r>
      <w:r>
        <w:rPr/>
        <w:t>las</w:t>
      </w:r>
      <w:r>
        <w:rPr>
          <w:w w:val="100"/>
        </w:rPr>
        <w:t> </w:t>
      </w:r>
      <w:r>
        <w:rPr/>
        <w:t>siguientes modificaciones en el Manual de</w:t>
      </w:r>
      <w:r>
        <w:rPr>
          <w:spacing w:val="-13"/>
        </w:rPr>
        <w:t> </w:t>
      </w:r>
      <w:r>
        <w:rPr/>
        <w:t>Servicios: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458" w:lineRule="auto" w:before="0"/>
        <w:ind w:left="382" w:right="250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2"/>
        </w:rPr>
        <w:t>CAPITULO III - </w:t>
      </w:r>
      <w:r>
        <w:rPr>
          <w:rFonts w:ascii="Arial"/>
          <w:b/>
          <w:sz w:val="20"/>
        </w:rPr>
        <w:t>FONDO AGROPECUARIO DE GARANTIAS</w:t>
      </w:r>
      <w:r>
        <w:rPr>
          <w:rFonts w:ascii="Arial"/>
          <w:b/>
          <w:spacing w:val="-19"/>
          <w:sz w:val="20"/>
        </w:rPr>
        <w:t> </w:t>
      </w:r>
      <w:r>
        <w:rPr>
          <w:rFonts w:ascii="Arial"/>
          <w:b/>
          <w:sz w:val="20"/>
        </w:rPr>
        <w:t>FAG</w:t>
      </w:r>
      <w:r>
        <w:rPr>
          <w:rFonts w:ascii="Arial"/>
          <w:b/>
          <w:w w:val="99"/>
          <w:sz w:val="20"/>
        </w:rPr>
        <w:t> </w:t>
      </w:r>
      <w:r>
        <w:rPr>
          <w:rFonts w:ascii="Arial"/>
          <w:b/>
          <w:sz w:val="20"/>
        </w:rPr>
        <w:t>TITULO I - FAG PARA OPERACIONES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ORDINARIAS</w:t>
      </w:r>
      <w:r>
        <w:rPr>
          <w:rFonts w:ascii="Arial"/>
          <w:sz w:val="20"/>
        </w:rPr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2" w:lineRule="auto" w:before="49" w:after="0"/>
        <w:ind w:left="1102" w:right="40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b/>
          <w:sz w:val="22"/>
        </w:rPr>
        <w:t>página</w:t>
      </w:r>
      <w:r>
        <w:rPr>
          <w:rFonts w:ascii="Arial" w:hAnsi="Arial"/>
          <w:b/>
          <w:spacing w:val="20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indica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qué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entiende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obligaciones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mora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efectos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determinar cuáles créditos no pueden acceder al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FAG.</w:t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2" w:lineRule="auto" w:before="0" w:after="0"/>
        <w:ind w:left="1102" w:right="39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b/>
          <w:sz w:val="22"/>
        </w:rPr>
        <w:t>página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8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establece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posibilidad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cambiar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fuente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sin perder la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garantía.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1102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la </w:t>
      </w:r>
      <w:r>
        <w:rPr>
          <w:rFonts w:ascii="Arial" w:hAnsi="Arial"/>
          <w:b/>
          <w:sz w:val="22"/>
        </w:rPr>
        <w:t>página 10 </w:t>
      </w:r>
      <w:r>
        <w:rPr>
          <w:rFonts w:ascii="Arial" w:hAnsi="Arial"/>
          <w:sz w:val="22"/>
        </w:rPr>
        <w:t>se establece un procedimiento para el pago de la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comisión.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1102" w:right="39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 modifica la </w:t>
      </w:r>
      <w:r>
        <w:rPr>
          <w:rFonts w:ascii="Arial" w:hAnsi="Arial"/>
          <w:b/>
          <w:sz w:val="22"/>
        </w:rPr>
        <w:t>página 11 </w:t>
      </w:r>
      <w:r>
        <w:rPr>
          <w:rFonts w:ascii="Arial" w:hAnsi="Arial"/>
          <w:sz w:val="22"/>
        </w:rPr>
        <w:t>para ampliar el plazo que tienen los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 para desistir o sustituir la garantía del FAG por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otra.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1102" w:right="39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la </w:t>
      </w:r>
      <w:r>
        <w:rPr>
          <w:rFonts w:ascii="Arial" w:hAnsi="Arial"/>
          <w:b/>
          <w:sz w:val="22"/>
        </w:rPr>
        <w:t>página 13 </w:t>
      </w:r>
      <w:r>
        <w:rPr>
          <w:rFonts w:ascii="Arial" w:hAnsi="Arial"/>
          <w:sz w:val="22"/>
        </w:rPr>
        <w:t>se establece un procedimiento para que los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 puedan efectuar modificaciones cuando registraron la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incurriendo en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inconsistencias.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1102" w:right="39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 modifica la </w:t>
      </w:r>
      <w:r>
        <w:rPr>
          <w:rFonts w:ascii="Arial" w:hAnsi="Arial"/>
          <w:b/>
          <w:sz w:val="22"/>
        </w:rPr>
        <w:t>página 15 </w:t>
      </w:r>
      <w:r>
        <w:rPr>
          <w:rFonts w:ascii="Arial" w:hAnsi="Arial"/>
          <w:sz w:val="22"/>
        </w:rPr>
        <w:t>con el propósito de establecer el plazo que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tiene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FINAGRO para expedir las garantías y para eliminar el plazo especial hasta el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31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marzo del presente año, que se había fijado para el pago de algunas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garantías.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240" w:lineRule="auto" w:before="0" w:after="0"/>
        <w:ind w:left="1102" w:right="39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la </w:t>
      </w:r>
      <w:r>
        <w:rPr>
          <w:rFonts w:ascii="Arial" w:hAnsi="Arial"/>
          <w:b/>
          <w:sz w:val="22"/>
        </w:rPr>
        <w:t>página 27 </w:t>
      </w:r>
      <w:r>
        <w:rPr>
          <w:rFonts w:ascii="Arial" w:hAnsi="Arial"/>
          <w:sz w:val="22"/>
        </w:rPr>
        <w:t>se aumenta el plazo que tiene los intermediarios financieros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trasladar a FINAGRO las sumas recuperadas por FAG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pagados.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1102" w:right="39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modifica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b/>
          <w:sz w:val="22"/>
        </w:rPr>
        <w:t>página</w:t>
      </w:r>
      <w:r>
        <w:rPr>
          <w:rFonts w:ascii="Arial" w:hAnsi="Arial"/>
          <w:b/>
          <w:spacing w:val="35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3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regular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relativo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devolución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sumas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pagadas por el FAG en los casos de reconocimiento del seguro de vida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fallecimiento del titular del crédito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garantizado.</w:t>
      </w:r>
    </w:p>
    <w:p>
      <w:pPr>
        <w:spacing w:after="0" w:line="240" w:lineRule="auto"/>
        <w:jc w:val="both"/>
        <w:rPr>
          <w:rFonts w:ascii="Arial" w:hAnsi="Arial" w:cs="Arial" w:eastAsia="Arial"/>
          <w:sz w:val="22"/>
          <w:szCs w:val="22"/>
        </w:rPr>
        <w:sectPr>
          <w:footerReference w:type="default" r:id="rId5"/>
          <w:type w:val="continuous"/>
          <w:pgSz w:w="12250" w:h="15850"/>
          <w:pgMar w:footer="1138" w:top="640" w:bottom="1320" w:left="1320" w:right="1300"/>
          <w:pgNumType w:start="1"/>
        </w:sectPr>
      </w:pPr>
    </w:p>
    <w:p>
      <w:pPr>
        <w:spacing w:line="240" w:lineRule="auto" w:before="9"/>
        <w:rPr>
          <w:rFonts w:ascii="Arial" w:hAnsi="Arial" w:cs="Arial" w:eastAsia="Arial"/>
          <w:sz w:val="6"/>
          <w:szCs w:val="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- 15  DE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CAPITULO VI - INSTRUCTIVO OPERATIVO DE</w:t>
      </w:r>
      <w:r>
        <w:rPr>
          <w:spacing w:val="-17"/>
        </w:rPr>
        <w:t> </w:t>
      </w:r>
      <w:r>
        <w:rPr/>
        <w:t>CARTERA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382" w:right="398" w:firstLine="0"/>
        <w:jc w:val="both"/>
      </w:pP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>
          <w:rFonts w:ascii="Arial" w:hAnsi="Arial"/>
          <w:b/>
        </w:rPr>
        <w:t>página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establece</w:t>
      </w:r>
      <w:r>
        <w:rPr>
          <w:spacing w:val="41"/>
        </w:rPr>
        <w:t> </w:t>
      </w:r>
      <w:r>
        <w:rPr/>
        <w:t>un</w:t>
      </w:r>
      <w:r>
        <w:rPr>
          <w:spacing w:val="39"/>
        </w:rPr>
        <w:t> </w:t>
      </w:r>
      <w:r>
        <w:rPr/>
        <w:t>procedimiento</w:t>
      </w:r>
      <w:r>
        <w:rPr>
          <w:spacing w:val="37"/>
        </w:rPr>
        <w:t> </w:t>
      </w:r>
      <w:r>
        <w:rPr/>
        <w:t>para</w:t>
      </w:r>
      <w:r>
        <w:rPr>
          <w:spacing w:val="37"/>
        </w:rPr>
        <w:t> </w:t>
      </w:r>
      <w:r>
        <w:rPr/>
        <w:t>que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intermediarios</w:t>
      </w:r>
      <w:r>
        <w:rPr>
          <w:spacing w:val="38"/>
        </w:rPr>
        <w:t> </w:t>
      </w:r>
      <w:r>
        <w:rPr/>
        <w:t>financieros</w:t>
      </w:r>
      <w:r>
        <w:rPr>
          <w:w w:val="100"/>
        </w:rPr>
        <w:t> </w:t>
      </w:r>
      <w:r>
        <w:rPr/>
        <w:t>puedan efectuar modificaciones cuando registran las operaciones incurriendo</w:t>
      </w:r>
      <w:r>
        <w:rPr>
          <w:spacing w:val="38"/>
        </w:rPr>
        <w:t> </w:t>
      </w:r>
      <w:r>
        <w:rPr/>
        <w:t>en</w:t>
      </w:r>
      <w:r>
        <w:rPr>
          <w:w w:val="100"/>
        </w:rPr>
        <w:t> </w:t>
      </w:r>
      <w:r>
        <w:rPr/>
        <w:t>inconsistencias.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82" w:right="79" w:firstLine="0"/>
        <w:jc w:val="left"/>
      </w:pPr>
      <w:r>
        <w:rPr/>
        <w:t>Como ya es habitual, se envían en su totalidad los Capítulos III y VI, y no sólo las</w:t>
      </w:r>
      <w:r>
        <w:rPr>
          <w:spacing w:val="46"/>
        </w:rPr>
        <w:t> </w:t>
      </w:r>
      <w:r>
        <w:rPr/>
        <w:t>páginas</w:t>
      </w:r>
      <w:r>
        <w:rPr>
          <w:w w:val="100"/>
        </w:rPr>
        <w:t> </w:t>
      </w:r>
      <w:r>
        <w:rPr/>
        <w:t>que se</w:t>
      </w:r>
      <w:r>
        <w:rPr>
          <w:spacing w:val="-4"/>
        </w:rPr>
        <w:t> </w:t>
      </w:r>
      <w:r>
        <w:rPr/>
        <w:t>modificaron.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82" w:right="79" w:firstLine="0"/>
        <w:jc w:val="left"/>
      </w:pPr>
      <w:r>
        <w:rPr/>
        <w:t>Cualquier consulta sobre el particular, será atendida por la Gerencia Comercial y</w:t>
      </w:r>
      <w:r>
        <w:rPr>
          <w:spacing w:val="42"/>
        </w:rPr>
        <w:t> </w:t>
      </w:r>
      <w:r>
        <w:rPr/>
        <w:t>las</w:t>
      </w:r>
      <w:r>
        <w:rPr>
          <w:w w:val="100"/>
        </w:rPr>
        <w:t> </w:t>
      </w:r>
      <w:r>
        <w:rPr/>
        <w:t>Direcciones de Administración de Garantías y de</w:t>
      </w:r>
      <w:r>
        <w:rPr>
          <w:spacing w:val="-14"/>
        </w:rPr>
        <w:t> </w:t>
      </w:r>
      <w:r>
        <w:rPr/>
        <w:t>Cartera.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82" w:right="0" w:firstLine="0"/>
        <w:jc w:val="both"/>
      </w:pPr>
      <w:r>
        <w:rPr/>
        <w:t>Cordial</w:t>
      </w:r>
      <w:r>
        <w:rPr>
          <w:spacing w:val="-3"/>
        </w:rPr>
        <w:t> </w:t>
      </w:r>
      <w:r>
        <w:rPr/>
        <w:t>saludo,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FABIÁN GRISALES</w:t>
      </w:r>
      <w:r>
        <w:rPr>
          <w:spacing w:val="-11"/>
        </w:rPr>
        <w:t> </w:t>
      </w:r>
      <w:r>
        <w:rPr/>
        <w:t>OROZCO</w:t>
      </w:r>
      <w:r>
        <w:rPr>
          <w:b w:val="0"/>
        </w:rPr>
      </w:r>
    </w:p>
    <w:p>
      <w:pPr>
        <w:pStyle w:val="BodyText"/>
        <w:spacing w:line="240" w:lineRule="auto" w:before="1"/>
        <w:ind w:left="382" w:right="0" w:firstLine="0"/>
        <w:jc w:val="both"/>
      </w:pPr>
      <w:r>
        <w:rPr/>
        <w:t>Representante Legal-Vicepresidente</w:t>
      </w:r>
      <w:r>
        <w:rPr>
          <w:spacing w:val="-8"/>
        </w:rPr>
        <w:t> </w:t>
      </w:r>
      <w:r>
        <w:rPr/>
        <w:t>Financiero</w:t>
      </w:r>
    </w:p>
    <w:sectPr>
      <w:pgSz w:w="12250" w:h="15850"/>
      <w:pgMar w:header="0" w:footer="1138" w:top="640" w:bottom="132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209991pt;margin-top:724.225281pt;width:63.6pt;height:12pt;mso-position-horizontal-relative:page;mso-position-vertical-relative:page;z-index:-39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d</w:t>
                </w:r>
                <w:r>
                  <w:rPr>
                    <w:rFonts w:ascii="Arial" w:hAnsi="Arial"/>
                    <w:w w:val="99"/>
                    <w:sz w:val="20"/>
                  </w:rPr>
                  <w:t>e</w:t>
                </w:r>
                <w:r>
                  <w:rPr>
                    <w:rFonts w:ascii="Arial" w:hAnsi="Arial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w w:val="99"/>
                    <w:sz w:val="20"/>
                  </w:rPr>
                  <w:t>2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102" w:hanging="360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9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2" w:hanging="3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82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2015-06-30T13:37:24Z</dcterms:created>
  <dcterms:modified xsi:type="dcterms:W3CDTF">2015-06-30T13:37:24Z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