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- 14  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FECHA:          </w:t>
      </w:r>
      <w:r>
        <w:rPr>
          <w:rFonts w:ascii="Arial" w:hAnsi="Arial"/>
          <w:sz w:val="22"/>
        </w:rPr>
        <w:t>Bogotá D.C., 6 de mayo de</w:t>
      </w:r>
      <w:r>
        <w:rPr>
          <w:rFonts w:ascii="Arial" w:hAnsi="Arial"/>
          <w:spacing w:val="-34"/>
          <w:sz w:val="22"/>
        </w:rPr>
        <w:t> </w:t>
      </w:r>
      <w:r>
        <w:rPr>
          <w:rFonts w:ascii="Arial" w:hAnsi="Arial"/>
          <w:sz w:val="22"/>
        </w:rPr>
        <w:t>2015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793" w:val="left" w:leader="none"/>
        </w:tabs>
        <w:spacing w:line="240" w:lineRule="auto"/>
        <w:ind w:right="0"/>
        <w:jc w:val="both"/>
      </w:pPr>
      <w:r>
        <w:rPr>
          <w:rFonts w:ascii="Arial"/>
          <w:b/>
          <w:spacing w:val="-2"/>
        </w:rPr>
        <w:t>PARA:</w:t>
        <w:tab/>
      </w:r>
      <w:r>
        <w:rPr>
          <w:spacing w:val="-1"/>
        </w:rPr>
        <w:t>INTERMEDIARIOS</w:t>
      </w:r>
      <w:r>
        <w:rPr>
          <w:spacing w:val="21"/>
        </w:rPr>
        <w:t> </w:t>
      </w:r>
      <w:r>
        <w:rPr>
          <w:spacing w:val="-2"/>
        </w:rPr>
        <w:t>FINANCIEROS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733" w:val="left" w:leader="none"/>
          <w:tab w:pos="3137" w:val="left" w:leader="none"/>
          <w:tab w:pos="3648" w:val="left" w:leader="none"/>
          <w:tab w:pos="4123" w:val="left" w:leader="none"/>
          <w:tab w:pos="4966" w:val="left" w:leader="none"/>
          <w:tab w:pos="6247" w:val="left" w:leader="none"/>
          <w:tab w:pos="6758" w:val="left" w:leader="none"/>
          <w:tab w:pos="7955" w:val="left" w:leader="none"/>
          <w:tab w:pos="8648" w:val="left" w:leader="none"/>
        </w:tabs>
        <w:spacing w:line="240" w:lineRule="auto"/>
        <w:ind w:left="1733" w:right="397" w:hanging="1352"/>
        <w:jc w:val="left"/>
      </w:pPr>
      <w:r>
        <w:rPr>
          <w:rFonts w:ascii="Arial" w:hAnsi="Arial"/>
          <w:b/>
          <w:spacing w:val="-1"/>
        </w:rPr>
        <w:t>ASUNTO:</w:t>
        <w:tab/>
      </w:r>
      <w:r>
        <w:rPr>
          <w:spacing w:val="-1"/>
        </w:rPr>
        <w:t>APERTURA</w:t>
        <w:tab/>
        <w:t>DE</w:t>
        <w:tab/>
        <w:t>LA</w:t>
        <w:tab/>
        <w:t>LÍNEA</w:t>
        <w:tab/>
        <w:t>ESPECIAL</w:t>
        <w:tab/>
        <w:t>DE</w:t>
        <w:tab/>
        <w:t>CRÉDITO</w:t>
        <w:tab/>
        <w:t>CON</w:t>
        <w:tab/>
        <w:t>TASA</w:t>
      </w:r>
      <w:r>
        <w:rPr>
          <w:spacing w:val="-60"/>
        </w:rPr>
        <w:t> </w:t>
      </w:r>
      <w:r>
        <w:rPr>
          <w:spacing w:val="-60"/>
        </w:rPr>
      </w:r>
      <w:r>
        <w:rPr/>
        <w:t>SUBSIDIADA 2015 Y MODIFICACIÓN DEL MANUAL DE</w:t>
      </w:r>
      <w:r>
        <w:rPr>
          <w:spacing w:val="-24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5"/>
        <w:jc w:val="both"/>
      </w:pPr>
      <w:r>
        <w:rPr/>
        <w:t>Por medio de la presente Circular Reglamentaria se informa a los</w:t>
      </w:r>
      <w:r>
        <w:rPr>
          <w:spacing w:val="7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que el Ministerio de Agricultura y Desarrollo Rural destinó recursos</w:t>
      </w:r>
      <w:r>
        <w:rPr>
          <w:spacing w:val="4"/>
        </w:rPr>
        <w:t> </w:t>
      </w:r>
      <w:r>
        <w:rPr/>
        <w:t>para</w:t>
      </w:r>
      <w:r>
        <w:rPr>
          <w:w w:val="100"/>
        </w:rPr>
        <w:t> </w:t>
      </w:r>
      <w:r>
        <w:rPr/>
        <w:t>financiar</w:t>
      </w:r>
      <w:r>
        <w:rPr>
          <w:spacing w:val="14"/>
        </w:rPr>
        <w:t> </w:t>
      </w:r>
      <w:r>
        <w:rPr/>
        <w:t>proyectos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Línea</w:t>
      </w:r>
      <w:r>
        <w:rPr>
          <w:spacing w:val="14"/>
        </w:rPr>
        <w:t> </w:t>
      </w:r>
      <w:r>
        <w:rPr/>
        <w:t>Especial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Crédito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tasa</w:t>
      </w:r>
      <w:r>
        <w:rPr>
          <w:spacing w:val="13"/>
        </w:rPr>
        <w:t> </w:t>
      </w:r>
      <w:r>
        <w:rPr/>
        <w:t>subsidiada</w:t>
      </w:r>
      <w:r>
        <w:rPr>
          <w:spacing w:val="21"/>
        </w:rPr>
        <w:t> </w:t>
      </w:r>
      <w:r>
        <w:rPr/>
        <w:t>2015,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sean</w:t>
      </w:r>
      <w:r>
        <w:rPr>
          <w:w w:val="100"/>
        </w:rPr>
        <w:t> </w:t>
      </w:r>
      <w:r>
        <w:rPr/>
        <w:t>ejecutados por los productores y en las condiciones establecidas en el Título  I  del</w:t>
      </w:r>
      <w:r>
        <w:rPr>
          <w:w w:val="100"/>
        </w:rPr>
        <w:t> </w:t>
      </w:r>
      <w:r>
        <w:rPr/>
        <w:t>Capítulo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Manual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Servicios,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conformidad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lo</w:t>
      </w:r>
      <w:r>
        <w:rPr>
          <w:spacing w:val="26"/>
        </w:rPr>
        <w:t> </w:t>
      </w:r>
      <w:r>
        <w:rPr/>
        <w:t>establecido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Comisión</w:t>
      </w:r>
      <w:r>
        <w:rPr>
          <w:w w:val="100"/>
        </w:rPr>
        <w:t> </w:t>
      </w:r>
      <w:r>
        <w:rPr/>
        <w:t>Nacional de Crédito Agropecuario en las Resoluciones Nos. 5, 8 y 14 de 2011, 5 de</w:t>
      </w:r>
      <w:r>
        <w:rPr>
          <w:spacing w:val="46"/>
        </w:rPr>
        <w:t> </w:t>
      </w:r>
      <w:r>
        <w:rPr/>
        <w:t>2012</w:t>
      </w:r>
      <w:r>
        <w:rPr>
          <w:w w:val="100"/>
        </w:rPr>
        <w:t> </w:t>
      </w:r>
      <w:r>
        <w:rPr/>
        <w:t>y 10 de 2014, y en consecuencia, se efectúan las siguientes modificaciones en el</w:t>
      </w:r>
      <w:r>
        <w:rPr>
          <w:spacing w:val="44"/>
        </w:rPr>
        <w:t> </w:t>
      </w:r>
      <w:r>
        <w:rPr/>
        <w:t>Manual</w:t>
      </w:r>
      <w:r>
        <w:rPr>
          <w:w w:val="100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480" w:lineRule="auto"/>
        <w:ind w:right="3143"/>
        <w:jc w:val="left"/>
        <w:rPr>
          <w:b w:val="0"/>
          <w:bCs w:val="0"/>
        </w:rPr>
      </w:pPr>
      <w:r>
        <w:rPr/>
        <w:t>CAPITULO I - CRÉDITO AGROPECUARIO Y</w:t>
      </w:r>
      <w:r>
        <w:rPr>
          <w:spacing w:val="-19"/>
        </w:rPr>
        <w:t> </w:t>
      </w:r>
      <w:r>
        <w:rPr/>
        <w:t>RURAL</w:t>
      </w:r>
      <w:r>
        <w:rPr>
          <w:w w:val="100"/>
        </w:rPr>
        <w:t> </w:t>
      </w:r>
      <w:r>
        <w:rPr/>
        <w:t>ANEXO 2.1 CÓDIGOS DE NORMA</w:t>
      </w:r>
      <w:r>
        <w:rPr>
          <w:spacing w:val="-17"/>
        </w:rPr>
        <w:t> </w:t>
      </w:r>
      <w:r>
        <w:rPr/>
        <w:t>LEGAL</w:t>
      </w:r>
      <w:r>
        <w:rPr>
          <w:b w:val="0"/>
        </w:rPr>
      </w:r>
    </w:p>
    <w:p>
      <w:pPr>
        <w:pStyle w:val="BodyText"/>
        <w:spacing w:line="240" w:lineRule="auto" w:before="10"/>
        <w:ind w:right="399"/>
        <w:jc w:val="both"/>
      </w:pPr>
      <w:r>
        <w:rPr/>
        <w:t>Se modifica el presente anexo, para incluir en el numeral XX los códigos de norma legal,</w:t>
      </w:r>
      <w:r>
        <w:rPr>
          <w:spacing w:val="-11"/>
        </w:rPr>
        <w:t> </w:t>
      </w:r>
      <w:r>
        <w:rPr/>
        <w:t>a</w:t>
      </w:r>
      <w:r>
        <w:rPr>
          <w:w w:val="100"/>
        </w:rPr>
        <w:t> </w:t>
      </w:r>
      <w:r>
        <w:rPr/>
        <w:t>través de los cuales los intermediarios financieros podrán registrar los créditos</w:t>
      </w:r>
      <w:r>
        <w:rPr>
          <w:spacing w:val="8"/>
        </w:rPr>
        <w:t> </w:t>
      </w:r>
      <w:r>
        <w:rPr/>
        <w:t>que</w:t>
      </w:r>
      <w:r>
        <w:rPr>
          <w:w w:val="100"/>
        </w:rPr>
        <w:t> </w:t>
      </w:r>
      <w:r>
        <w:rPr/>
        <w:t>otorguen por la línea especial a que hace referencia la presente Circular</w:t>
      </w:r>
      <w:r>
        <w:rPr>
          <w:spacing w:val="-18"/>
        </w:rPr>
        <w:t> </w:t>
      </w:r>
      <w:r>
        <w:rPr/>
        <w:t>Reglamentaria.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8"/>
        <w:jc w:val="both"/>
      </w:pPr>
      <w:r>
        <w:rPr/>
        <w:t>En</w:t>
      </w:r>
      <w:r>
        <w:rPr>
          <w:spacing w:val="53"/>
        </w:rPr>
        <w:t> </w:t>
      </w:r>
      <w:r>
        <w:rPr/>
        <w:t>caso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requerir</w:t>
      </w:r>
      <w:r>
        <w:rPr>
          <w:spacing w:val="54"/>
        </w:rPr>
        <w:t> </w:t>
      </w:r>
      <w:r>
        <w:rPr/>
        <w:t>alguna</w:t>
      </w:r>
      <w:r>
        <w:rPr>
          <w:spacing w:val="53"/>
        </w:rPr>
        <w:t> </w:t>
      </w:r>
      <w:r>
        <w:rPr/>
        <w:t>norma</w:t>
      </w:r>
      <w:r>
        <w:rPr>
          <w:spacing w:val="53"/>
        </w:rPr>
        <w:t> </w:t>
      </w:r>
      <w:r>
        <w:rPr/>
        <w:t>legal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particular</w:t>
      </w:r>
      <w:r>
        <w:rPr>
          <w:spacing w:val="51"/>
        </w:rPr>
        <w:t> </w:t>
      </w:r>
      <w:r>
        <w:rPr/>
        <w:t>que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esté</w:t>
      </w:r>
      <w:r>
        <w:rPr>
          <w:spacing w:val="53"/>
        </w:rPr>
        <w:t> </w:t>
      </w:r>
      <w:r>
        <w:rPr/>
        <w:t>relacionada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w w:val="100"/>
        </w:rPr>
        <w:t> </w:t>
      </w:r>
      <w:r>
        <w:rPr/>
        <w:t>numeral</w:t>
      </w:r>
      <w:r>
        <w:rPr>
          <w:spacing w:val="13"/>
        </w:rPr>
        <w:t> </w:t>
      </w:r>
      <w:r>
        <w:rPr/>
        <w:t>mencionado,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solicitar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Anexo</w:t>
      </w:r>
      <w:r>
        <w:rPr>
          <w:spacing w:val="16"/>
        </w:rPr>
        <w:t> </w:t>
      </w:r>
      <w:r>
        <w:rPr/>
        <w:t>13</w:t>
      </w:r>
      <w:r>
        <w:rPr>
          <w:spacing w:val="13"/>
        </w:rPr>
        <w:t> </w:t>
      </w:r>
      <w:r>
        <w:rPr/>
        <w:t>del</w:t>
      </w:r>
      <w:r>
        <w:rPr>
          <w:spacing w:val="19"/>
        </w:rPr>
        <w:t> </w:t>
      </w:r>
      <w:r>
        <w:rPr/>
        <w:t>Capítulo</w:t>
      </w:r>
      <w:r>
        <w:rPr>
          <w:spacing w:val="16"/>
        </w:rPr>
        <w:t> </w:t>
      </w:r>
      <w:r>
        <w:rPr/>
        <w:t>VI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Manual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Servicios.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ANEXO III - CUADROS Nos 1.1, 1.2, 1.3, 1.4 y</w:t>
      </w:r>
      <w:r>
        <w:rPr>
          <w:spacing w:val="-15"/>
        </w:rPr>
        <w:t> </w:t>
      </w:r>
      <w:r>
        <w:rPr/>
        <w:t>1.5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96"/>
        <w:jc w:val="both"/>
      </w:pPr>
      <w:r>
        <w:rPr/>
        <w:t>Se modifican los cuadros 1.2 y 1.3 para incluir los rubros de cebada y compras</w:t>
      </w:r>
      <w:r>
        <w:rPr>
          <w:spacing w:val="2"/>
        </w:rPr>
        <w:t> </w:t>
      </w:r>
      <w:r>
        <w:rPr/>
        <w:t>conjuntas</w:t>
      </w:r>
      <w:r>
        <w:rPr>
          <w:w w:val="100"/>
        </w:rPr>
        <w:t> </w:t>
      </w:r>
      <w:r>
        <w:rPr/>
        <w:t>de materias primas para producir alimentos balanceados sector</w:t>
      </w:r>
      <w:r>
        <w:rPr>
          <w:spacing w:val="-16"/>
        </w:rPr>
        <w:t> </w:t>
      </w:r>
      <w:r>
        <w:rPr/>
        <w:t>lácteo.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CAPITULO V- LÍNEAS ESPECIALES DE</w:t>
      </w:r>
      <w:r>
        <w:rPr>
          <w:spacing w:val="-14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TITULO I - LÍNEA ESPECIAL DE CRÉDITO CON TASA SUBSIDIADA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3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b/>
          <w:sz w:val="22"/>
        </w:rPr>
        <w:t>páginas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4,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modifica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Especial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y lo atinente a las condiciones para acceder a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misma.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2" w:lineRule="auto" w:before="0" w:after="0"/>
        <w:ind w:left="1102" w:right="3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b/>
          <w:sz w:val="22"/>
        </w:rPr>
        <w:t>página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5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modifican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Especial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contenidas en el cuadro No.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5.1.</w:t>
      </w:r>
    </w:p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5"/>
          <w:type w:val="continuous"/>
          <w:pgSz w:w="12250" w:h="15850"/>
          <w:pgMar w:footer="1138" w:top="640" w:bottom="1320" w:left="1320" w:right="1300"/>
          <w:pgNumType w:start="1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- 14  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right="358"/>
        <w:jc w:val="left"/>
      </w:pP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página</w:t>
      </w:r>
      <w:r>
        <w:rPr>
          <w:spacing w:val="20"/>
        </w:rPr>
        <w:t> </w:t>
      </w:r>
      <w:r>
        <w:rPr/>
        <w:t>Web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FINAGRO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informará</w:t>
      </w:r>
      <w:r>
        <w:rPr>
          <w:spacing w:val="26"/>
        </w:rPr>
        <w:t> </w:t>
      </w:r>
      <w:r>
        <w:rPr/>
        <w:t>periódicamente</w:t>
      </w:r>
      <w:r>
        <w:rPr>
          <w:spacing w:val="26"/>
        </w:rPr>
        <w:t> </w:t>
      </w:r>
      <w:r>
        <w:rPr/>
        <w:t>sobre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disponibilidad</w:t>
      </w:r>
      <w:r>
        <w:rPr>
          <w:spacing w:val="26"/>
        </w:rPr>
        <w:t> </w:t>
      </w:r>
      <w:r>
        <w:rPr/>
        <w:t>de</w:t>
      </w:r>
      <w:r>
        <w:rPr>
          <w:w w:val="100"/>
        </w:rPr>
        <w:t> </w:t>
      </w:r>
      <w:r>
        <w:rPr/>
        <w:t>recursos para el subsidio de</w:t>
      </w:r>
      <w:r>
        <w:rPr>
          <w:spacing w:val="-8"/>
        </w:rPr>
        <w:t> </w:t>
      </w:r>
      <w:r>
        <w:rPr/>
        <w:t>tasa.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58"/>
        <w:jc w:val="left"/>
      </w:pPr>
      <w:r>
        <w:rPr/>
        <w:t>Como ya es habitual, se envían en su totalidad los Anexos 2.1 y III, al igual que </w:t>
      </w:r>
      <w:r>
        <w:rPr>
          <w:spacing w:val="48"/>
        </w:rPr>
        <w:t> </w:t>
      </w:r>
      <w:r>
        <w:rPr/>
        <w:t>el</w:t>
      </w:r>
      <w:r>
        <w:rPr>
          <w:w w:val="100"/>
        </w:rPr>
        <w:t> </w:t>
      </w:r>
      <w:r>
        <w:rPr/>
        <w:t>Capítulo V, y no sólo las páginas que se</w:t>
      </w:r>
      <w:r>
        <w:rPr>
          <w:spacing w:val="-18"/>
        </w:rPr>
        <w:t> </w:t>
      </w:r>
      <w:r>
        <w:rPr/>
        <w:t>modificaron.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58"/>
        <w:jc w:val="left"/>
      </w:pPr>
      <w:r>
        <w:rPr/>
        <w:t>Cualquier consulta sobre el particular, será atendida por la Gerencia Comercial y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Dirección de</w:t>
      </w:r>
      <w:r>
        <w:rPr>
          <w:spacing w:val="-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143"/>
        <w:jc w:val="left"/>
      </w:pPr>
      <w:r>
        <w:rPr/>
        <w:t>Cordial</w:t>
      </w:r>
      <w:r>
        <w:rPr>
          <w:spacing w:val="-3"/>
        </w:rPr>
        <w:t> </w:t>
      </w:r>
      <w:r>
        <w:rPr/>
        <w:t>saludo,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3143"/>
        <w:jc w:val="left"/>
        <w:rPr>
          <w:b w:val="0"/>
          <w:bCs w:val="0"/>
        </w:rPr>
      </w:pPr>
      <w:r>
        <w:rPr/>
        <w:t>LUIS ENRIQUE DUSSÁN</w:t>
      </w:r>
      <w:r>
        <w:rPr>
          <w:spacing w:val="-11"/>
        </w:rPr>
        <w:t> </w:t>
      </w:r>
      <w:r>
        <w:rPr/>
        <w:t>LÓPEZ</w:t>
      </w:r>
      <w:r>
        <w:rPr>
          <w:b w:val="0"/>
        </w:rPr>
      </w:r>
    </w:p>
    <w:p>
      <w:pPr>
        <w:pStyle w:val="BodyText"/>
        <w:spacing w:line="240" w:lineRule="auto" w:before="1"/>
        <w:ind w:right="3143"/>
        <w:jc w:val="left"/>
      </w:pPr>
      <w:r>
        <w:rPr/>
        <w:t>Presidente</w:t>
      </w:r>
    </w:p>
    <w:sectPr>
      <w:pgSz w:w="12250" w:h="15850"/>
      <w:pgMar w:header="0" w:footer="1138" w:top="640" w:bottom="13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209991pt;margin-top:724.225281pt;width:63.6pt;height:12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d</w:t>
                </w:r>
                <w:r>
                  <w:rPr>
                    <w:rFonts w:ascii="Arial" w:hAnsi="Arial"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102" w:hanging="360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8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2015-06-30T13:32:31Z</dcterms:created>
  <dcterms:modified xsi:type="dcterms:W3CDTF">2015-06-30T13:32:31Z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