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2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- 8  DE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38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FECHA:          </w:t>
      </w:r>
      <w:r>
        <w:rPr>
          <w:rFonts w:ascii="Arial" w:hAnsi="Arial"/>
          <w:sz w:val="22"/>
        </w:rPr>
        <w:t>Bogotá D.C., 26 de marzo de</w:t>
      </w:r>
      <w:r>
        <w:rPr>
          <w:rFonts w:ascii="Arial" w:hAnsi="Arial"/>
          <w:spacing w:val="-33"/>
          <w:sz w:val="22"/>
        </w:rPr>
        <w:t> </w:t>
      </w:r>
      <w:r>
        <w:rPr>
          <w:rFonts w:ascii="Arial" w:hAnsi="Arial"/>
          <w:sz w:val="22"/>
        </w:rPr>
        <w:t>2015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793" w:val="left" w:leader="none"/>
        </w:tabs>
        <w:spacing w:line="240" w:lineRule="auto"/>
        <w:ind w:right="0"/>
        <w:jc w:val="both"/>
      </w:pPr>
      <w:r>
        <w:rPr>
          <w:rFonts w:ascii="Arial"/>
          <w:b/>
          <w:spacing w:val="-2"/>
        </w:rPr>
        <w:t>PARA:</w:t>
        <w:tab/>
      </w:r>
      <w:r>
        <w:rPr>
          <w:spacing w:val="-1"/>
        </w:rPr>
        <w:t>INTERMEDIARIOS</w:t>
      </w:r>
      <w:r>
        <w:rPr>
          <w:spacing w:val="21"/>
        </w:rPr>
        <w:t> </w:t>
      </w:r>
      <w:r>
        <w:rPr>
          <w:spacing w:val="-2"/>
        </w:rPr>
        <w:t>FINANCIEROS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1733" w:val="left" w:leader="none"/>
        </w:tabs>
        <w:spacing w:line="240" w:lineRule="auto"/>
        <w:ind w:left="1733" w:right="403" w:hanging="1352"/>
        <w:jc w:val="left"/>
      </w:pPr>
      <w:r>
        <w:rPr>
          <w:rFonts w:ascii="Arial" w:hAnsi="Arial"/>
          <w:b/>
          <w:spacing w:val="-1"/>
        </w:rPr>
        <w:t>ASUNTO:</w:t>
        <w:tab/>
      </w:r>
      <w:r>
        <w:rPr>
          <w:spacing w:val="-1"/>
        </w:rPr>
        <w:t>APERTURA</w:t>
      </w:r>
      <w:r>
        <w:rPr/>
        <w:t>   </w:t>
      </w:r>
      <w:r>
        <w:rPr>
          <w:spacing w:val="-1"/>
        </w:rPr>
        <w:t>DEL</w:t>
      </w:r>
      <w:r>
        <w:rPr/>
        <w:t>   </w:t>
      </w:r>
      <w:r>
        <w:rPr>
          <w:spacing w:val="-1"/>
        </w:rPr>
        <w:t>INCENTIVO</w:t>
      </w:r>
      <w:r>
        <w:rPr/>
        <w:t>   A  LA  </w:t>
      </w:r>
      <w:r>
        <w:rPr>
          <w:spacing w:val="-1"/>
        </w:rPr>
        <w:t>CAPITALIZACION</w:t>
      </w:r>
      <w:r>
        <w:rPr/>
        <w:t>  </w:t>
      </w:r>
      <w:r>
        <w:rPr>
          <w:spacing w:val="-1"/>
        </w:rPr>
        <w:t>RURAL-ICR</w:t>
      </w:r>
      <w:r>
        <w:rPr/>
        <w:t>  </w:t>
      </w:r>
      <w:r>
        <w:rPr>
          <w:spacing w:val="15"/>
        </w:rPr>
        <w:t> </w:t>
      </w:r>
      <w:r>
        <w:rPr/>
        <w:t>Y</w:t>
      </w:r>
      <w:r>
        <w:rPr>
          <w:w w:val="100"/>
        </w:rPr>
        <w:t> </w:t>
      </w:r>
      <w:r>
        <w:rPr/>
        <w:t>MODIFICACIÓN DEL MANUAL DE</w:t>
      </w:r>
      <w:r>
        <w:rPr>
          <w:spacing w:val="-16"/>
        </w:rPr>
        <w:t> </w:t>
      </w:r>
      <w:r>
        <w:rPr/>
        <w:t>SERVICIOS.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397"/>
        <w:jc w:val="both"/>
      </w:pPr>
      <w:r>
        <w:rPr/>
        <w:t>Por medio de la presente Circular Reglamentaria se informa a los</w:t>
      </w:r>
      <w:r>
        <w:rPr>
          <w:spacing w:val="7"/>
        </w:rPr>
        <w:t> </w:t>
      </w:r>
      <w:r>
        <w:rPr/>
        <w:t>intermediarios</w:t>
      </w:r>
      <w:r>
        <w:rPr>
          <w:w w:val="100"/>
        </w:rPr>
        <w:t> </w:t>
      </w:r>
      <w:r>
        <w:rPr/>
        <w:t>financieros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Ministerio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Agricultura</w:t>
      </w:r>
      <w:r>
        <w:rPr>
          <w:spacing w:val="26"/>
        </w:rPr>
        <w:t> </w:t>
      </w:r>
      <w:r>
        <w:rPr/>
        <w:t>y</w:t>
      </w:r>
      <w:r>
        <w:rPr>
          <w:spacing w:val="23"/>
        </w:rPr>
        <w:t> </w:t>
      </w:r>
      <w:r>
        <w:rPr/>
        <w:t>Desarrollo</w:t>
      </w:r>
      <w:r>
        <w:rPr>
          <w:spacing w:val="26"/>
        </w:rPr>
        <w:t> </w:t>
      </w:r>
      <w:r>
        <w:rPr/>
        <w:t>Rural</w:t>
      </w:r>
      <w:r>
        <w:rPr>
          <w:spacing w:val="25"/>
        </w:rPr>
        <w:t> </w:t>
      </w:r>
      <w:r>
        <w:rPr/>
        <w:t>destinó</w:t>
      </w:r>
      <w:r>
        <w:rPr>
          <w:spacing w:val="26"/>
        </w:rPr>
        <w:t> </w:t>
      </w:r>
      <w:r>
        <w:rPr/>
        <w:t>$347</w:t>
      </w:r>
      <w:r>
        <w:rPr>
          <w:spacing w:val="26"/>
        </w:rPr>
        <w:t> </w:t>
      </w:r>
      <w:r>
        <w:rPr/>
        <w:t>mil</w:t>
      </w:r>
      <w:r>
        <w:rPr>
          <w:spacing w:val="25"/>
        </w:rPr>
        <w:t> </w:t>
      </w:r>
      <w:r>
        <w:rPr/>
        <w:t>millones</w:t>
      </w:r>
      <w:r>
        <w:rPr>
          <w:w w:val="100"/>
        </w:rPr>
        <w:t> </w:t>
      </w:r>
      <w:r>
        <w:rPr/>
        <w:t>para</w:t>
      </w:r>
      <w:r>
        <w:rPr>
          <w:spacing w:val="22"/>
        </w:rPr>
        <w:t> </w:t>
      </w:r>
      <w:r>
        <w:rPr/>
        <w:t>inscripciones</w:t>
      </w:r>
      <w:r>
        <w:rPr>
          <w:spacing w:val="22"/>
        </w:rPr>
        <w:t> </w:t>
      </w:r>
      <w:r>
        <w:rPr/>
        <w:t>al</w:t>
      </w:r>
      <w:r>
        <w:rPr>
          <w:spacing w:val="20"/>
        </w:rPr>
        <w:t> </w:t>
      </w:r>
      <w:r>
        <w:rPr/>
        <w:t>Incentivo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Capitalización</w:t>
      </w:r>
      <w:r>
        <w:rPr>
          <w:spacing w:val="22"/>
        </w:rPr>
        <w:t> </w:t>
      </w:r>
      <w:r>
        <w:rPr/>
        <w:t>Rural,</w:t>
      </w:r>
      <w:r>
        <w:rPr>
          <w:spacing w:val="24"/>
        </w:rPr>
        <w:t> </w:t>
      </w:r>
      <w:r>
        <w:rPr/>
        <w:t>las</w:t>
      </w:r>
      <w:r>
        <w:rPr>
          <w:spacing w:val="20"/>
        </w:rPr>
        <w:t> </w:t>
      </w:r>
      <w:r>
        <w:rPr/>
        <w:t>cuales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van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administrar</w:t>
      </w:r>
      <w:r>
        <w:rPr>
          <w:w w:val="100"/>
        </w:rPr>
        <w:t> </w:t>
      </w:r>
      <w:r>
        <w:rPr/>
        <w:t>como se señala a</w:t>
      </w:r>
      <w:r>
        <w:rPr>
          <w:spacing w:val="-5"/>
        </w:rPr>
        <w:t> </w:t>
      </w:r>
      <w:r>
        <w:rPr/>
        <w:t>continuación: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"/>
        </w:numPr>
        <w:tabs>
          <w:tab w:pos="647" w:val="left" w:leader="none"/>
        </w:tabs>
        <w:spacing w:line="240" w:lineRule="auto" w:before="0" w:after="0"/>
        <w:ind w:left="382" w:right="4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total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recursos,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60%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está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destinado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pequeños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productores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esquemas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asociativos y el 40% para medianos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productores.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"/>
        </w:numPr>
        <w:tabs>
          <w:tab w:pos="639" w:val="left" w:leader="none"/>
        </w:tabs>
        <w:spacing w:line="240" w:lineRule="auto" w:before="0" w:after="0"/>
        <w:ind w:left="382" w:right="4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Con el objeto de atender un mayor número de productores agropecuarios y rurales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país los porcentajes de reconocimiento del ICR serán los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siguientes: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1"/>
          <w:numId w:val="1"/>
        </w:numPr>
        <w:tabs>
          <w:tab w:pos="1822" w:val="left" w:leader="none"/>
        </w:tabs>
        <w:spacing w:line="268" w:lineRule="exact" w:before="0" w:after="0"/>
        <w:ind w:left="1822" w:right="40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Pequeños Productores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30%</w:t>
      </w:r>
    </w:p>
    <w:p>
      <w:pPr>
        <w:pStyle w:val="ListParagraph"/>
        <w:numPr>
          <w:ilvl w:val="1"/>
          <w:numId w:val="1"/>
        </w:numPr>
        <w:tabs>
          <w:tab w:pos="1822" w:val="left" w:leader="none"/>
        </w:tabs>
        <w:spacing w:line="268" w:lineRule="exact" w:before="0" w:after="0"/>
        <w:ind w:left="1822" w:right="40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Medianos Productores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15%</w:t>
      </w:r>
    </w:p>
    <w:p>
      <w:pPr>
        <w:pStyle w:val="ListParagraph"/>
        <w:numPr>
          <w:ilvl w:val="1"/>
          <w:numId w:val="1"/>
        </w:numPr>
        <w:tabs>
          <w:tab w:pos="1822" w:val="left" w:leader="none"/>
        </w:tabs>
        <w:spacing w:line="240" w:lineRule="auto" w:before="0" w:after="0"/>
        <w:ind w:left="1822" w:right="71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Esquemas Asociativos ponderado de acuerdo con la participación de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tipos de productor, máximo hasta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30%.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0" w:after="0"/>
        <w:ind w:left="382" w:right="4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recursos presupuestales serán destinados a proyectos que financien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inversiones contempladas en una de las catorce (14) bolsas destinadas para el año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2015: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403"/>
        <w:jc w:val="left"/>
      </w:pPr>
      <w:r>
        <w:rPr>
          <w:rFonts w:ascii="Arial" w:hAnsi="Arial"/>
          <w:b/>
        </w:rPr>
        <w:t>BOLSA 1 - FRUTALES: </w:t>
      </w:r>
      <w:r>
        <w:rPr/>
        <w:t>Aguacate, Ciruelo, Cítricos, Durazno, Pitahaya,</w:t>
      </w:r>
      <w:r>
        <w:rPr>
          <w:spacing w:val="-13"/>
        </w:rPr>
        <w:t> </w:t>
      </w:r>
      <w:r>
        <w:rPr/>
        <w:t>Chontaduro,</w:t>
      </w:r>
      <w:r>
        <w:rPr>
          <w:w w:val="100"/>
        </w:rPr>
        <w:t> </w:t>
      </w:r>
      <w:r>
        <w:rPr/>
        <w:t>Guanábana, Lima Tahití, Mango, Manzano, Pero, Vid, Cocotero, Guayaba y</w:t>
      </w:r>
      <w:r>
        <w:rPr>
          <w:spacing w:val="-22"/>
        </w:rPr>
        <w:t> </w:t>
      </w:r>
      <w:r>
        <w:rPr/>
        <w:t>Brevo.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BOLSA 2 - PALMA DE</w:t>
      </w:r>
      <w:r>
        <w:rPr>
          <w:spacing w:val="-10"/>
        </w:rPr>
        <w:t> </w:t>
      </w:r>
      <w:r>
        <w:rPr/>
        <w:t>ACEITE.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403"/>
        <w:jc w:val="left"/>
      </w:pPr>
      <w:r>
        <w:rPr>
          <w:rFonts w:ascii="Arial" w:hAnsi="Arial"/>
          <w:b/>
        </w:rPr>
        <w:t>BOLSA 3 - CAFÉ: </w:t>
      </w:r>
      <w:r>
        <w:rPr/>
        <w:t>Renovación cafetales envejecidos y Café renovación por siembra</w:t>
      </w:r>
      <w:r>
        <w:rPr>
          <w:spacing w:val="49"/>
        </w:rPr>
        <w:t> </w:t>
      </w:r>
      <w:r>
        <w:rPr/>
        <w:t>por</w:t>
      </w:r>
      <w:r>
        <w:rPr>
          <w:w w:val="100"/>
        </w:rPr>
        <w:t> </w:t>
      </w:r>
      <w:r>
        <w:rPr/>
        <w:t>cambio de</w:t>
      </w:r>
      <w:r>
        <w:rPr>
          <w:spacing w:val="-3"/>
        </w:rPr>
        <w:t> </w:t>
      </w:r>
      <w:r>
        <w:rPr/>
        <w:t>variedad.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38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BOLSA 4 - CACAO: </w:t>
      </w:r>
      <w:r>
        <w:rPr>
          <w:rFonts w:ascii="Arial" w:hAnsi="Arial"/>
          <w:sz w:val="22"/>
        </w:rPr>
        <w:t>Cacao y Renovación cacaotales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envejecidos.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BOLSA 5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9"/>
        </w:rPr>
        <w:t> </w:t>
      </w:r>
      <w:r>
        <w:rPr/>
        <w:t>CAUCHO.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4" w:lineRule="auto"/>
        <w:ind w:right="403"/>
        <w:jc w:val="left"/>
      </w:pPr>
      <w:r>
        <w:rPr>
          <w:rFonts w:ascii="Arial" w:hAnsi="Arial"/>
          <w:b/>
        </w:rPr>
        <w:t>BOLSA 6 - SILVOPASTOREO: </w:t>
      </w:r>
      <w:r>
        <w:rPr/>
        <w:t>Siembra de especies forrajeras no maderables y</w:t>
      </w:r>
      <w:r>
        <w:rPr>
          <w:spacing w:val="16"/>
        </w:rPr>
        <w:t> </w:t>
      </w:r>
      <w:r>
        <w:rPr/>
        <w:t>las</w:t>
      </w:r>
      <w:r>
        <w:rPr>
          <w:w w:val="100"/>
        </w:rPr>
        <w:t> </w:t>
      </w:r>
      <w:r>
        <w:rPr/>
        <w:t>especies forestales maderables, asociadas a la producción</w:t>
      </w:r>
      <w:r>
        <w:rPr>
          <w:spacing w:val="-12"/>
        </w:rPr>
        <w:t> </w:t>
      </w:r>
      <w:r>
        <w:rPr/>
        <w:t>ganadera.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BOLSA 7 - ADECUACIÓN DE TIERRAS Y MANEJO DE RECURSO</w:t>
      </w:r>
      <w:r>
        <w:rPr>
          <w:spacing w:val="-22"/>
        </w:rPr>
        <w:t> </w:t>
      </w:r>
      <w:r>
        <w:rPr/>
        <w:t>HÍDRICO.</w:t>
      </w:r>
      <w:r>
        <w:rPr>
          <w:b w:val="0"/>
        </w:rPr>
      </w:r>
    </w:p>
    <w:p>
      <w:pPr>
        <w:spacing w:after="0" w:line="240" w:lineRule="auto"/>
        <w:jc w:val="both"/>
        <w:sectPr>
          <w:footerReference w:type="default" r:id="rId5"/>
          <w:type w:val="continuous"/>
          <w:pgSz w:w="12250" w:h="15850"/>
          <w:pgMar w:footer="1138" w:top="640" w:bottom="1320" w:left="1320" w:right="1300"/>
          <w:pgNumType w:start="1"/>
        </w:sect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6"/>
          <w:szCs w:val="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2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- 8  DE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before="72"/>
        <w:ind w:left="382" w:right="3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BOLSA 8 - INFRAESTRUCTURA PARA LA PRODUCCIÓN, MAQUINARIA DE</w:t>
      </w:r>
      <w:r>
        <w:rPr>
          <w:rFonts w:ascii="Arial" w:hAnsi="Arial"/>
          <w:b/>
          <w:spacing w:val="45"/>
          <w:sz w:val="22"/>
        </w:rPr>
        <w:t> </w:t>
      </w:r>
      <w:r>
        <w:rPr>
          <w:rFonts w:ascii="Arial" w:hAnsi="Arial"/>
          <w:b/>
          <w:sz w:val="22"/>
        </w:rPr>
        <w:t>USO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AGROPECUARIO Y TRANSFORMACIÓN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z w:val="22"/>
        </w:rPr>
        <w:t>PRIMARIA.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40" w:lineRule="auto"/>
        <w:ind w:right="395"/>
        <w:jc w:val="both"/>
      </w:pPr>
      <w:r>
        <w:rPr>
          <w:rFonts w:ascii="Arial" w:hAnsi="Arial"/>
          <w:b/>
        </w:rPr>
        <w:t>BOLSA 9 - CONPES ALTILLANURA: </w:t>
      </w:r>
      <w:r>
        <w:rPr/>
        <w:t>Recuperación física y química de suelos de</w:t>
      </w:r>
      <w:r>
        <w:rPr>
          <w:spacing w:val="18"/>
        </w:rPr>
        <w:t> </w:t>
      </w:r>
      <w:r>
        <w:rPr/>
        <w:t>la</w:t>
      </w:r>
      <w:r>
        <w:rPr>
          <w:w w:val="100"/>
        </w:rPr>
        <w:t> </w:t>
      </w:r>
      <w:r>
        <w:rPr/>
        <w:t>Altillanura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Orinoquía</w:t>
      </w:r>
      <w:r>
        <w:rPr>
          <w:spacing w:val="20"/>
        </w:rPr>
        <w:t> </w:t>
      </w:r>
      <w:r>
        <w:rPr/>
        <w:t>para</w:t>
      </w:r>
      <w:r>
        <w:rPr>
          <w:spacing w:val="18"/>
        </w:rPr>
        <w:t> </w:t>
      </w:r>
      <w:r>
        <w:rPr/>
        <w:t>inversiones</w:t>
      </w:r>
      <w:r>
        <w:rPr>
          <w:spacing w:val="18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7"/>
        </w:rPr>
        <w:t> </w:t>
      </w:r>
      <w:r>
        <w:rPr/>
        <w:t>desarrollen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Departamentos</w:t>
      </w:r>
      <w:r>
        <w:rPr>
          <w:spacing w:val="19"/>
        </w:rPr>
        <w:t> </w:t>
      </w:r>
      <w:r>
        <w:rPr/>
        <w:t>de</w:t>
      </w:r>
      <w:r>
        <w:rPr>
          <w:spacing w:val="-1"/>
          <w:w w:val="100"/>
        </w:rPr>
        <w:t> </w:t>
      </w:r>
      <w:r>
        <w:rPr/>
        <w:t>Arauca, Casanare, Meta, Vichada, Guaviare y</w:t>
      </w:r>
      <w:r>
        <w:rPr>
          <w:spacing w:val="-15"/>
        </w:rPr>
        <w:t> </w:t>
      </w:r>
      <w:r>
        <w:rPr/>
        <w:t>Guanía.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397"/>
        <w:jc w:val="both"/>
      </w:pPr>
      <w:r>
        <w:rPr>
          <w:rFonts w:ascii="Arial" w:hAnsi="Arial"/>
          <w:b/>
        </w:rPr>
        <w:t>BOLSA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</w:rPr>
        <w:t>10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CONPES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NARIÑO:</w:t>
      </w:r>
      <w:r>
        <w:rPr>
          <w:rFonts w:ascii="Arial" w:hAnsi="Arial"/>
          <w:b/>
          <w:spacing w:val="29"/>
        </w:rPr>
        <w:t> </w:t>
      </w:r>
      <w:r>
        <w:rPr/>
        <w:t>Destinado</w:t>
      </w:r>
      <w:r>
        <w:rPr>
          <w:spacing w:val="28"/>
        </w:rPr>
        <w:t> </w:t>
      </w:r>
      <w:r>
        <w:rPr/>
        <w:t>únicamente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proyectos</w:t>
      </w:r>
      <w:r>
        <w:rPr>
          <w:spacing w:val="26"/>
        </w:rPr>
        <w:t> </w:t>
      </w:r>
      <w:r>
        <w:rPr/>
        <w:t>que</w:t>
      </w:r>
      <w:r>
        <w:rPr>
          <w:spacing w:val="28"/>
        </w:rPr>
        <w:t> </w:t>
      </w:r>
      <w:r>
        <w:rPr/>
        <w:t>contemplen</w:t>
      </w:r>
      <w:r>
        <w:rPr>
          <w:spacing w:val="28"/>
        </w:rPr>
        <w:t> </w:t>
      </w:r>
      <w:r>
        <w:rPr/>
        <w:t>el</w:t>
      </w:r>
      <w:r>
        <w:rPr>
          <w:w w:val="100"/>
        </w:rPr>
        <w:t> </w:t>
      </w:r>
      <w:r>
        <w:rPr/>
        <w:t>fortalecimiento de la infraestructura y transporte especializado de</w:t>
      </w:r>
      <w:r>
        <w:rPr>
          <w:spacing w:val="-18"/>
        </w:rPr>
        <w:t> </w:t>
      </w:r>
      <w:r>
        <w:rPr/>
        <w:t>leche.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BOLSA 11 - CONPES</w:t>
      </w:r>
      <w:r>
        <w:rPr>
          <w:spacing w:val="-12"/>
        </w:rPr>
        <w:t> </w:t>
      </w:r>
      <w:r>
        <w:rPr/>
        <w:t>LÁCTEO.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98"/>
        <w:jc w:val="both"/>
      </w:pPr>
      <w:r>
        <w:rPr>
          <w:rFonts w:ascii="Arial" w:hAnsi="Arial"/>
          <w:b/>
        </w:rPr>
        <w:t>BOLSA 12 - AMTEC ARROZ: </w:t>
      </w:r>
      <w:r>
        <w:rPr/>
        <w:t>Adquisición de maquinaria de uso agrícola dentro</w:t>
      </w:r>
      <w:r>
        <w:rPr>
          <w:spacing w:val="-14"/>
        </w:rPr>
        <w:t> </w:t>
      </w:r>
      <w:r>
        <w:rPr/>
        <w:t>del</w:t>
      </w:r>
      <w:r>
        <w:rPr>
          <w:w w:val="100"/>
        </w:rPr>
        <w:t> </w:t>
      </w:r>
      <w:r>
        <w:rPr/>
        <w:t>programa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adopción</w:t>
      </w:r>
      <w:r>
        <w:rPr>
          <w:spacing w:val="32"/>
        </w:rPr>
        <w:t> </w:t>
      </w:r>
      <w:r>
        <w:rPr/>
        <w:t>masiva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maquinaria</w:t>
      </w:r>
      <w:r>
        <w:rPr>
          <w:spacing w:val="30"/>
        </w:rPr>
        <w:t> </w:t>
      </w:r>
      <w:r>
        <w:rPr/>
        <w:t>agrícola</w:t>
      </w:r>
      <w:r>
        <w:rPr>
          <w:spacing w:val="30"/>
        </w:rPr>
        <w:t> </w:t>
      </w:r>
      <w:r>
        <w:rPr/>
        <w:t>para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competitividad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/>
        <w:t>sector</w:t>
      </w:r>
      <w:r>
        <w:rPr>
          <w:w w:val="100"/>
        </w:rPr>
        <w:t> </w:t>
      </w:r>
      <w:r>
        <w:rPr/>
        <w:t>arrocero.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38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BOLSA  13  -   APOYO  A  LA  PRODUCTIVIDAD  DEL   ALGODÓN:  </w:t>
      </w:r>
      <w:r>
        <w:rPr>
          <w:rFonts w:ascii="Arial" w:hAnsi="Arial"/>
          <w:sz w:val="22"/>
        </w:rPr>
        <w:t>Para  mejorar   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la</w:t>
      </w:r>
    </w:p>
    <w:p>
      <w:pPr>
        <w:pStyle w:val="BodyText"/>
        <w:spacing w:line="240" w:lineRule="auto" w:before="4"/>
        <w:ind w:right="0"/>
        <w:jc w:val="both"/>
      </w:pPr>
      <w:r>
        <w:rPr/>
        <w:t>competitividad del</w:t>
      </w:r>
      <w:r>
        <w:rPr>
          <w:spacing w:val="-6"/>
        </w:rPr>
        <w:t> </w:t>
      </w:r>
      <w:r>
        <w:rPr/>
        <w:t>sector.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382" w:right="40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BOLSA 14 - APOYO A LA PRODUCTIVIDAD DEL MAÍZ: </w:t>
      </w:r>
      <w:r>
        <w:rPr>
          <w:rFonts w:ascii="Arial" w:hAnsi="Arial"/>
          <w:sz w:val="22"/>
        </w:rPr>
        <w:t>Para mejorar la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competitividad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sector.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396"/>
        <w:jc w:val="both"/>
      </w:pPr>
      <w:r>
        <w:rPr/>
        <w:t>Por</w:t>
      </w:r>
      <w:r>
        <w:rPr>
          <w:spacing w:val="17"/>
        </w:rPr>
        <w:t> </w:t>
      </w:r>
      <w:r>
        <w:rPr/>
        <w:t>lo</w:t>
      </w:r>
      <w:r>
        <w:rPr>
          <w:spacing w:val="16"/>
        </w:rPr>
        <w:t> </w:t>
      </w:r>
      <w:r>
        <w:rPr/>
        <w:t>expuesto,</w:t>
      </w:r>
      <w:r>
        <w:rPr>
          <w:spacing w:val="18"/>
        </w:rPr>
        <w:t> </w:t>
      </w:r>
      <w:r>
        <w:rPr/>
        <w:t>anexo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Circular</w:t>
      </w:r>
      <w:r>
        <w:rPr>
          <w:spacing w:val="17"/>
        </w:rPr>
        <w:t> </w:t>
      </w:r>
      <w:r>
        <w:rPr/>
        <w:t>Reglamentaria</w:t>
      </w:r>
      <w:r>
        <w:rPr>
          <w:spacing w:val="16"/>
        </w:rPr>
        <w:t> </w:t>
      </w:r>
      <w:r>
        <w:rPr/>
        <w:t>se</w:t>
      </w:r>
      <w:r>
        <w:rPr>
          <w:spacing w:val="14"/>
        </w:rPr>
        <w:t> </w:t>
      </w:r>
      <w:r>
        <w:rPr/>
        <w:t>remite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Capítulo</w:t>
      </w:r>
      <w:r>
        <w:rPr>
          <w:spacing w:val="16"/>
        </w:rPr>
        <w:t> </w:t>
      </w:r>
      <w:r>
        <w:rPr/>
        <w:t>IV</w:t>
      </w:r>
      <w:r>
        <w:rPr>
          <w:spacing w:val="16"/>
        </w:rPr>
        <w:t> </w:t>
      </w:r>
      <w:r>
        <w:rPr/>
        <w:t>del</w:t>
      </w:r>
      <w:r>
        <w:rPr>
          <w:w w:val="100"/>
        </w:rPr>
        <w:t> </w:t>
      </w:r>
      <w:r>
        <w:rPr/>
        <w:t>Manual de Servicios de FINAGRO, que contiene en su Título I las condiciones</w:t>
      </w:r>
      <w:r>
        <w:rPr>
          <w:spacing w:val="32"/>
        </w:rPr>
        <w:t> </w:t>
      </w:r>
      <w:r>
        <w:rPr/>
        <w:t>generales</w:t>
      </w:r>
      <w:r>
        <w:rPr>
          <w:w w:val="100"/>
        </w:rPr>
        <w:t> </w:t>
      </w:r>
      <w:r>
        <w:rPr/>
        <w:t>para acceder al Incentivo, y en el Título II la distribución de los recursos en las</w:t>
      </w:r>
      <w:r>
        <w:rPr>
          <w:spacing w:val="37"/>
        </w:rPr>
        <w:t> </w:t>
      </w:r>
      <w:r>
        <w:rPr/>
        <w:t>diferentes</w:t>
      </w:r>
      <w:r>
        <w:rPr>
          <w:w w:val="100"/>
        </w:rPr>
        <w:t> </w:t>
      </w:r>
      <w:r>
        <w:rPr/>
        <w:t>Bolsas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ICR,</w:t>
      </w:r>
      <w:r>
        <w:rPr>
          <w:spacing w:val="29"/>
        </w:rPr>
        <w:t> </w:t>
      </w:r>
      <w:r>
        <w:rPr/>
        <w:t>al</w:t>
      </w:r>
      <w:r>
        <w:rPr>
          <w:spacing w:val="27"/>
        </w:rPr>
        <w:t> </w:t>
      </w:r>
      <w:r>
        <w:rPr/>
        <w:t>igual</w:t>
      </w:r>
      <w:r>
        <w:rPr>
          <w:spacing w:val="25"/>
        </w:rPr>
        <w:t> </w:t>
      </w:r>
      <w:r>
        <w:rPr/>
        <w:t>que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Anexo</w:t>
      </w:r>
      <w:r>
        <w:rPr>
          <w:spacing w:val="28"/>
        </w:rPr>
        <w:t> </w:t>
      </w:r>
      <w:r>
        <w:rPr/>
        <w:t>2.1</w:t>
      </w:r>
      <w:r>
        <w:rPr>
          <w:spacing w:val="29"/>
        </w:rPr>
        <w:t> </w:t>
      </w:r>
      <w:r>
        <w:rPr/>
        <w:t>del</w:t>
      </w:r>
      <w:r>
        <w:rPr>
          <w:spacing w:val="27"/>
        </w:rPr>
        <w:t> </w:t>
      </w:r>
      <w:r>
        <w:rPr/>
        <w:t>Capítulo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/>
        <w:t>con</w:t>
      </w:r>
      <w:r>
        <w:rPr>
          <w:spacing w:val="28"/>
        </w:rPr>
        <w:t> </w:t>
      </w:r>
      <w:r>
        <w:rPr/>
        <w:t>las</w:t>
      </w:r>
      <w:r>
        <w:rPr>
          <w:spacing w:val="28"/>
        </w:rPr>
        <w:t> </w:t>
      </w:r>
      <w:r>
        <w:rPr/>
        <w:t>normas</w:t>
      </w:r>
      <w:r>
        <w:rPr>
          <w:spacing w:val="25"/>
        </w:rPr>
        <w:t> </w:t>
      </w:r>
      <w:r>
        <w:rPr/>
        <w:t>legales</w:t>
      </w:r>
      <w:r>
        <w:rPr>
          <w:spacing w:val="28"/>
        </w:rPr>
        <w:t> </w:t>
      </w:r>
      <w:r>
        <w:rPr/>
        <w:t>para</w:t>
      </w:r>
      <w:r>
        <w:rPr>
          <w:spacing w:val="28"/>
        </w:rPr>
        <w:t> </w:t>
      </w:r>
      <w:r>
        <w:rPr/>
        <w:t>el</w:t>
      </w:r>
      <w:r>
        <w:rPr>
          <w:w w:val="100"/>
        </w:rPr>
        <w:t> </w:t>
      </w:r>
      <w:r>
        <w:rPr/>
        <w:t>redescuento de las operaciones de crédito que financien los respectivos</w:t>
      </w:r>
      <w:r>
        <w:rPr>
          <w:spacing w:val="-14"/>
        </w:rPr>
        <w:t> </w:t>
      </w:r>
      <w:r>
        <w:rPr/>
        <w:t>proyectos.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397"/>
        <w:jc w:val="both"/>
      </w:pPr>
      <w:r>
        <w:rPr/>
        <w:t>Estas disposiciones aplican para los créditos que se redescuenten a partir del viernes</w:t>
      </w:r>
      <w:r>
        <w:rPr>
          <w:spacing w:val="36"/>
        </w:rPr>
        <w:t> </w:t>
      </w:r>
      <w:r>
        <w:rPr/>
        <w:t>27</w:t>
      </w:r>
      <w:r>
        <w:rPr>
          <w:w w:val="100"/>
        </w:rPr>
        <w:t> </w:t>
      </w:r>
      <w:r>
        <w:rPr/>
        <w:t>de marzo del presente</w:t>
      </w:r>
      <w:r>
        <w:rPr>
          <w:spacing w:val="-6"/>
        </w:rPr>
        <w:t> </w:t>
      </w:r>
      <w:r>
        <w:rPr/>
        <w:t>año.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402"/>
        <w:jc w:val="both"/>
      </w:pPr>
      <w:r>
        <w:rPr/>
        <w:t>Cualquier consulta sobre el particular, será atendida por la Vicepresidencia</w:t>
      </w:r>
      <w:r>
        <w:rPr>
          <w:spacing w:val="38"/>
        </w:rPr>
        <w:t> </w:t>
      </w:r>
      <w:r>
        <w:rPr/>
        <w:t>de</w:t>
      </w:r>
      <w:r>
        <w:rPr>
          <w:w w:val="100"/>
        </w:rPr>
        <w:t> </w:t>
      </w:r>
      <w:r>
        <w:rPr/>
        <w:t>Operaciones, la Gerencia Comercial y la Dirección de</w:t>
      </w:r>
      <w:r>
        <w:rPr>
          <w:spacing w:val="-16"/>
        </w:rPr>
        <w:t> </w:t>
      </w:r>
      <w:r>
        <w:rPr/>
        <w:t>Cartera.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Cordial</w:t>
      </w:r>
      <w:r>
        <w:rPr>
          <w:spacing w:val="-3"/>
        </w:rPr>
        <w:t> </w:t>
      </w:r>
      <w:r>
        <w:rPr/>
        <w:t>saludo,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LUIS ENRIQUE DUSSÁN</w:t>
      </w:r>
      <w:r>
        <w:rPr>
          <w:spacing w:val="-11"/>
        </w:rPr>
        <w:t> </w:t>
      </w:r>
      <w:r>
        <w:rPr/>
        <w:t>LÓPEZ</w:t>
      </w:r>
      <w:r>
        <w:rPr>
          <w:b w:val="0"/>
        </w:rPr>
      </w:r>
    </w:p>
    <w:p>
      <w:pPr>
        <w:pStyle w:val="BodyText"/>
        <w:spacing w:line="240" w:lineRule="auto" w:before="1"/>
        <w:ind w:right="0"/>
        <w:jc w:val="both"/>
      </w:pPr>
      <w:r>
        <w:rPr/>
        <w:t>Presidente</w:t>
      </w:r>
    </w:p>
    <w:sectPr>
      <w:pgSz w:w="12250" w:h="15850"/>
      <w:pgMar w:header="0" w:footer="1138" w:top="640" w:bottom="132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209991pt;margin-top:724.225281pt;width:63.6pt;height:12pt;mso-position-horizontal-relative:page;mso-position-vertical-relative:page;z-index:-44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Arial" w:hAnsi="Arial"/>
                    <w:w w:val="99"/>
                    <w:sz w:val="20"/>
                  </w:rPr>
                  <w:t>á</w:t>
                </w:r>
                <w:r>
                  <w:rPr>
                    <w:rFonts w:ascii="Arial" w:hAnsi="Arial"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Arial" w:hAnsi="Arial"/>
                    <w:spacing w:val="-1"/>
                    <w:w w:val="99"/>
                    <w:sz w:val="20"/>
                  </w:rPr>
                  <w:t>i</w:t>
                </w:r>
                <w:r>
                  <w:rPr>
                    <w:rFonts w:ascii="Arial" w:hAnsi="Arial"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Arial" w:hAnsi="Arial"/>
                    <w:w w:val="99"/>
                    <w:sz w:val="20"/>
                  </w:rPr>
                  <w:t>a</w:t>
                </w:r>
                <w:r>
                  <w:rPr>
                    <w:rFonts w:ascii="Arial" w:hAnsi="Arial"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pacing w:val="2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w w:val="99"/>
                    <w:sz w:val="20"/>
                  </w:rPr>
                  <w:t>d</w:t>
                </w:r>
                <w:r>
                  <w:rPr>
                    <w:rFonts w:ascii="Arial" w:hAnsi="Arial"/>
                    <w:w w:val="99"/>
                    <w:sz w:val="20"/>
                  </w:rPr>
                  <w:t>e</w:t>
                </w:r>
                <w:r>
                  <w:rPr>
                    <w:rFonts w:ascii="Arial" w:hAnsi="Arial"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w w:val="99"/>
                    <w:sz w:val="20"/>
                  </w:rPr>
                  <w:t>2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2" w:hanging="264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822" w:hanging="360"/>
      </w:pPr>
      <w:rPr>
        <w:rFonts w:hint="default" w:ascii="Symbol" w:hAnsi="Symbol" w:eastAsia="Symbol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82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382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jrestrepo</dc:creator>
  <dc:title>SISTEMA DE ACTUALIZACIÓN</dc:title>
  <dcterms:created xsi:type="dcterms:W3CDTF">2015-06-30T13:26:18Z</dcterms:created>
  <dcterms:modified xsi:type="dcterms:W3CDTF">2015-06-30T13:26:18Z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