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0"/>
        <w:gridCol w:w="5400"/>
        <w:gridCol w:w="19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32A4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ge1"/>
            <w:bookmarkEnd w:id="0"/>
            <w:r>
              <w:rPr>
                <w:noProof/>
              </w:rPr>
              <w:pict>
                <v:rect id="_x0000_s1026" style="position:absolute;margin-left:63.1pt;margin-top:36pt;width:2.2pt;height:2.25pt;z-index:-251658240;mso-position-horizontal-relative:page;mso-position-vertical-relative:page" o:allowincell="f" fillcolor="black" stroked="f">
                  <w10:wrap anchorx="page" anchory="page"/>
                </v:rect>
              </w:pic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32A4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CIRCULAR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32A44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P - 35 DE 2014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32A4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32A4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32A4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5.8pt;margin-top:-56.5pt;width:71.45pt;height:53.55pt;z-index:-251657216;mso-position-horizontal-relative:text;mso-position-vertical-relative:text" o:allowincell="f">
            <v:imagedata r:id="rId5" o:title=""/>
          </v:shape>
        </w:pict>
      </w: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tabs>
          <w:tab w:val="left" w:pos="1840"/>
        </w:tabs>
        <w:autoSpaceDE w:val="0"/>
        <w:autoSpaceDN w:val="0"/>
        <w:adjustRightInd w:val="0"/>
        <w:spacing w:after="0" w:line="239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FECHA: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Bogotá D.C., 27 de noviembre de 2014</w:t>
      </w: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tabs>
          <w:tab w:val="left" w:pos="1840"/>
        </w:tabs>
        <w:autoSpaceDE w:val="0"/>
        <w:autoSpaceDN w:val="0"/>
        <w:adjustRightInd w:val="0"/>
        <w:spacing w:after="0" w:line="239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PARA: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INTERMEDIARIOS FINANCIEROS</w:t>
      </w: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tabs>
          <w:tab w:val="left" w:pos="1780"/>
        </w:tabs>
        <w:autoSpaceDE w:val="0"/>
        <w:autoSpaceDN w:val="0"/>
        <w:adjustRightInd w:val="0"/>
        <w:spacing w:after="0" w:line="239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ASUNTO: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MODIFICACION MANUAL DE SERVICIOS</w:t>
      </w: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left="440"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De conformidad con lo dispuesto en la Ley 1731 de 2014 al igual que lo decidido por la Comisión Nacional de Crédito Agropecuario mediante Resolución No. 5 de 2014, y ante la necesidad de regular aspectos relacionados con las operaciones factoring, por medi</w:t>
      </w:r>
      <w:r>
        <w:rPr>
          <w:rFonts w:ascii="Arial" w:hAnsi="Arial" w:cs="Arial"/>
        </w:rPr>
        <w:t>o de la presente Circular Reglamentaria se efectúan las siguientes modificaciones al Manual de Servicios de FINAGRO:</w:t>
      </w: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39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CAPITULO I - CREDITO AGROPECUARIO Y RURAL</w:t>
      </w: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overflowPunct w:val="0"/>
        <w:autoSpaceDE w:val="0"/>
        <w:autoSpaceDN w:val="0"/>
        <w:adjustRightInd w:val="0"/>
        <w:spacing w:after="0" w:line="229" w:lineRule="auto"/>
        <w:ind w:left="440" w:right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Se modifican las </w:t>
      </w:r>
      <w:r>
        <w:rPr>
          <w:rFonts w:ascii="Arial" w:hAnsi="Arial" w:cs="Arial"/>
          <w:b/>
          <w:bCs/>
        </w:rPr>
        <w:t>páginas 20</w:t>
      </w:r>
      <w:r>
        <w:rPr>
          <w:rFonts w:ascii="Arial" w:hAnsi="Arial" w:cs="Arial"/>
        </w:rPr>
        <w:t xml:space="preserve"> y </w:t>
      </w:r>
      <w:r>
        <w:rPr>
          <w:rFonts w:ascii="Arial" w:hAnsi="Arial" w:cs="Arial"/>
          <w:b/>
          <w:bCs/>
        </w:rPr>
        <w:t>21</w:t>
      </w:r>
      <w:r>
        <w:rPr>
          <w:rFonts w:ascii="Arial" w:hAnsi="Arial" w:cs="Arial"/>
        </w:rPr>
        <w:t xml:space="preserve"> para reglamentar lo relacionado con la verificación que en cad</w:t>
      </w:r>
      <w:r>
        <w:rPr>
          <w:rFonts w:ascii="Arial" w:hAnsi="Arial" w:cs="Arial"/>
        </w:rPr>
        <w:t>a caso debe realizar el intermediario financiero, para comprobar que los bienes objeto de facturación en las operaciones factoring, corresponda a actividades financiables por FINAGRO.</w:t>
      </w: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CAPITULO III - FONDO AGROPECUARIO DE GARANTÍAS FAG</w:t>
      </w: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TITULO I - FAG PARA OPERACIONES ORDINARIAS</w:t>
      </w: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spacing w:after="0" w:line="240" w:lineRule="auto"/>
        <w:ind w:left="1160" w:hanging="3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</w:t>
      </w:r>
      <w:r>
        <w:rPr>
          <w:rFonts w:ascii="Arial" w:hAnsi="Arial" w:cs="Arial"/>
          <w:b/>
          <w:bCs/>
        </w:rPr>
        <w:t>página 4</w:t>
      </w:r>
      <w:r>
        <w:rPr>
          <w:rFonts w:ascii="Arial" w:hAnsi="Arial" w:cs="Arial"/>
        </w:rPr>
        <w:t xml:space="preserve"> se modifica el objeto del FAG. </w:t>
      </w: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97" w:lineRule="exact"/>
        <w:rPr>
          <w:rFonts w:ascii="Arial" w:hAnsi="Arial" w:cs="Arial"/>
        </w:rPr>
      </w:pPr>
    </w:p>
    <w:p w:rsidR="00000000" w:rsidRDefault="00A32A44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spacing w:after="0" w:line="220" w:lineRule="auto"/>
        <w:ind w:left="1160" w:right="440" w:hanging="3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las </w:t>
      </w:r>
      <w:r>
        <w:rPr>
          <w:rFonts w:ascii="Arial" w:hAnsi="Arial" w:cs="Arial"/>
          <w:b/>
          <w:bCs/>
        </w:rPr>
        <w:t>páginas 4</w:t>
      </w:r>
      <w:r>
        <w:rPr>
          <w:rFonts w:ascii="Arial" w:hAnsi="Arial" w:cs="Arial"/>
        </w:rPr>
        <w:t xml:space="preserve"> y </w:t>
      </w: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</w:rPr>
        <w:t xml:space="preserve"> se modifica lo relativo a los usuarios del FAG y los créditos que no pueden acceder a estas garantías. </w:t>
      </w: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94" w:lineRule="exact"/>
        <w:rPr>
          <w:rFonts w:ascii="Arial" w:hAnsi="Arial" w:cs="Arial"/>
        </w:rPr>
      </w:pPr>
    </w:p>
    <w:p w:rsidR="00000000" w:rsidRDefault="00A32A44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spacing w:after="0" w:line="220" w:lineRule="auto"/>
        <w:ind w:left="1160" w:right="440" w:hanging="3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modifica la </w:t>
      </w:r>
      <w:r>
        <w:rPr>
          <w:rFonts w:ascii="Arial" w:hAnsi="Arial" w:cs="Arial"/>
          <w:b/>
          <w:bCs/>
        </w:rPr>
        <w:t>página 7</w:t>
      </w:r>
      <w:r>
        <w:rPr>
          <w:rFonts w:ascii="Arial" w:hAnsi="Arial" w:cs="Arial"/>
        </w:rPr>
        <w:t xml:space="preserve"> para </w:t>
      </w:r>
      <w:r>
        <w:rPr>
          <w:rFonts w:ascii="Arial" w:hAnsi="Arial" w:cs="Arial"/>
        </w:rPr>
        <w:t xml:space="preserve">establecer la cobertura del FAG en operaciones de microcrédito y para reducir la exposición máxima del FAG por usuario. </w:t>
      </w: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97" w:lineRule="exact"/>
        <w:rPr>
          <w:rFonts w:ascii="Arial" w:hAnsi="Arial" w:cs="Arial"/>
        </w:rPr>
      </w:pPr>
    </w:p>
    <w:p w:rsidR="00000000" w:rsidRDefault="00A32A44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spacing w:after="0" w:line="226" w:lineRule="auto"/>
        <w:ind w:left="1160" w:right="440" w:hanging="3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las </w:t>
      </w:r>
      <w:r>
        <w:rPr>
          <w:rFonts w:ascii="Arial" w:hAnsi="Arial" w:cs="Arial"/>
          <w:b/>
          <w:bCs/>
        </w:rPr>
        <w:t>páginas 8, 12, 16, 18, 20, 22</w:t>
      </w:r>
      <w:r>
        <w:rPr>
          <w:rFonts w:ascii="Arial" w:hAnsi="Arial" w:cs="Arial"/>
        </w:rPr>
        <w:t xml:space="preserve"> y </w:t>
      </w:r>
      <w:r>
        <w:rPr>
          <w:rFonts w:ascii="Arial" w:hAnsi="Arial" w:cs="Arial"/>
          <w:b/>
          <w:bCs/>
        </w:rPr>
        <w:t>34</w:t>
      </w:r>
      <w:r>
        <w:rPr>
          <w:rFonts w:ascii="Arial" w:hAnsi="Arial" w:cs="Arial"/>
        </w:rPr>
        <w:t xml:space="preserve"> se amplía de 360 a 450 días calendario la vigencia de las garantías tanto ordinarias, com</w:t>
      </w:r>
      <w:r>
        <w:rPr>
          <w:rFonts w:ascii="Arial" w:hAnsi="Arial" w:cs="Arial"/>
        </w:rPr>
        <w:t xml:space="preserve">o las expedidas por los distintos Fondos del FAG que a la fecha se encuentren vigentes. </w:t>
      </w: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96" w:lineRule="exact"/>
        <w:rPr>
          <w:rFonts w:ascii="Arial" w:hAnsi="Arial" w:cs="Arial"/>
        </w:rPr>
      </w:pPr>
    </w:p>
    <w:p w:rsidR="00000000" w:rsidRDefault="00A32A44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spacing w:after="0" w:line="220" w:lineRule="auto"/>
        <w:ind w:left="1160" w:right="440" w:hanging="3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modifica la </w:t>
      </w:r>
      <w:r>
        <w:rPr>
          <w:rFonts w:ascii="Arial" w:hAnsi="Arial" w:cs="Arial"/>
          <w:b/>
          <w:bCs/>
        </w:rPr>
        <w:t>página 10</w:t>
      </w:r>
      <w:r>
        <w:rPr>
          <w:rFonts w:ascii="Arial" w:hAnsi="Arial" w:cs="Arial"/>
        </w:rPr>
        <w:t xml:space="preserve"> con el fin de determinar la comisión que se debe pagar por las garantías para operaciones de microcrédito. </w:t>
      </w: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97" w:lineRule="exact"/>
        <w:rPr>
          <w:rFonts w:ascii="Arial" w:hAnsi="Arial" w:cs="Arial"/>
        </w:rPr>
      </w:pPr>
    </w:p>
    <w:p w:rsidR="00000000" w:rsidRDefault="00A32A44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spacing w:after="0" w:line="226" w:lineRule="auto"/>
        <w:ind w:left="1160" w:right="440" w:hanging="3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las </w:t>
      </w:r>
      <w:r>
        <w:rPr>
          <w:rFonts w:ascii="Arial" w:hAnsi="Arial" w:cs="Arial"/>
          <w:b/>
          <w:bCs/>
        </w:rPr>
        <w:t>páginas 11, 12</w:t>
      </w:r>
      <w:r>
        <w:rPr>
          <w:rFonts w:ascii="Arial" w:hAnsi="Arial" w:cs="Arial"/>
        </w:rPr>
        <w:t xml:space="preserve"> y </w:t>
      </w:r>
      <w:r>
        <w:rPr>
          <w:rFonts w:ascii="Arial" w:hAnsi="Arial" w:cs="Arial"/>
          <w:b/>
          <w:bCs/>
        </w:rPr>
        <w:t>13</w:t>
      </w:r>
      <w:r>
        <w:rPr>
          <w:rFonts w:ascii="Arial" w:hAnsi="Arial" w:cs="Arial"/>
        </w:rPr>
        <w:t xml:space="preserve"> se elimina tanto de la causal de no pago de la garantía descrita en el numeral 3.1.2.10.7, como del texto, la complementariedad del FAG. </w:t>
      </w: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95" w:lineRule="exact"/>
        <w:rPr>
          <w:rFonts w:ascii="Arial" w:hAnsi="Arial" w:cs="Arial"/>
        </w:rPr>
      </w:pPr>
    </w:p>
    <w:p w:rsidR="00000000" w:rsidRDefault="00A32A44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spacing w:after="0" w:line="220" w:lineRule="auto"/>
        <w:ind w:left="1160" w:right="440" w:hanging="3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</w:t>
      </w:r>
      <w:r>
        <w:rPr>
          <w:rFonts w:ascii="Arial" w:hAnsi="Arial" w:cs="Arial"/>
          <w:b/>
          <w:bCs/>
        </w:rPr>
        <w:t>página 13</w:t>
      </w:r>
      <w:r>
        <w:rPr>
          <w:rFonts w:ascii="Arial" w:hAnsi="Arial" w:cs="Arial"/>
        </w:rPr>
        <w:t xml:space="preserve"> se modifica lo relativo a la certificación que hace el intermediario financiero cuando solicita l</w:t>
      </w:r>
      <w:r>
        <w:rPr>
          <w:rFonts w:ascii="Arial" w:hAnsi="Arial" w:cs="Arial"/>
        </w:rPr>
        <w:t xml:space="preserve">a garantía. </w:t>
      </w: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39" w:lineRule="auto"/>
        <w:ind w:left="40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Página 1 de 2</w:t>
      </w:r>
    </w:p>
    <w:p w:rsidR="00000000" w:rsidRDefault="00A32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700" w:right="1260" w:bottom="599" w:left="1260" w:header="720" w:footer="720" w:gutter="0"/>
          <w:cols w:space="720" w:equalWidth="0">
            <w:col w:w="93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0"/>
        <w:gridCol w:w="5400"/>
        <w:gridCol w:w="19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32A4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ge3"/>
            <w:bookmarkEnd w:id="1"/>
            <w:r>
              <w:rPr>
                <w:noProof/>
              </w:rPr>
              <w:lastRenderedPageBreak/>
              <w:pict>
                <v:rect id="_x0000_s1028" style="position:absolute;margin-left:63.1pt;margin-top:36pt;width:2.2pt;height:2.25pt;z-index:-251656192;mso-position-horizontal-relative:page;mso-position-vertical-relative:page" o:allowincell="f" fillcolor="black" stroked="f">
                  <w10:wrap anchorx="page" anchory="page"/>
                </v:rect>
              </w:pic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32A4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CIRCULAR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32A44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P - 35 DE 2014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32A4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32A4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32A4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9" type="#_x0000_t75" style="position:absolute;margin-left:15.8pt;margin-top:-56.5pt;width:71.45pt;height:53.55pt;z-index:-251655168;mso-position-horizontal-relative:text;mso-position-vertical-relative:text" o:allowincell="f">
            <v:imagedata r:id="rId5" o:title=""/>
          </v:shape>
        </w:pict>
      </w:r>
    </w:p>
    <w:p w:rsidR="00000000" w:rsidRDefault="00A32A44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spacing w:after="0" w:line="219" w:lineRule="auto"/>
        <w:ind w:left="1160" w:right="440" w:hanging="3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</w:t>
      </w:r>
      <w:r>
        <w:rPr>
          <w:rFonts w:ascii="Arial" w:hAnsi="Arial" w:cs="Arial"/>
          <w:b/>
          <w:bCs/>
        </w:rPr>
        <w:t>página 16</w:t>
      </w:r>
      <w:r>
        <w:rPr>
          <w:rFonts w:ascii="Arial" w:hAnsi="Arial" w:cs="Arial"/>
        </w:rPr>
        <w:t xml:space="preserve"> se reglamenta el pago automático de las garantías que respaldan créditos cuyo saldo en mora oscile entre 0 y 1 smmlv. </w:t>
      </w: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96" w:lineRule="exact"/>
        <w:rPr>
          <w:rFonts w:ascii="Arial" w:hAnsi="Arial" w:cs="Arial"/>
        </w:rPr>
      </w:pPr>
    </w:p>
    <w:p w:rsidR="00000000" w:rsidRDefault="00A32A44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spacing w:after="0" w:line="226" w:lineRule="auto"/>
        <w:ind w:left="1160" w:right="440" w:hanging="3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modifican las </w:t>
      </w:r>
      <w:r>
        <w:rPr>
          <w:rFonts w:ascii="Arial" w:hAnsi="Arial" w:cs="Arial"/>
          <w:b/>
          <w:bCs/>
        </w:rPr>
        <w:t>páginas 28</w:t>
      </w:r>
      <w:r>
        <w:rPr>
          <w:rFonts w:ascii="Arial" w:hAnsi="Arial" w:cs="Arial"/>
        </w:rPr>
        <w:t xml:space="preserve"> y </w:t>
      </w:r>
      <w:r>
        <w:rPr>
          <w:rFonts w:ascii="Arial" w:hAnsi="Arial" w:cs="Arial"/>
          <w:b/>
          <w:bCs/>
        </w:rPr>
        <w:t>29</w:t>
      </w:r>
      <w:r>
        <w:rPr>
          <w:rFonts w:ascii="Arial" w:hAnsi="Arial" w:cs="Arial"/>
        </w:rPr>
        <w:t xml:space="preserve"> para reglamentar lo relativo a los requisitos que deben cumplir los intermediarios financieros para vender a CISA el porcentaje que tiene sobre las obligaciones que fueron reconocidas por el FAG. </w:t>
      </w: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39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CAPITULO VI - INSTRUCTIVO OPERATIVO DE CARTERA</w:t>
      </w: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overflowPunct w:val="0"/>
        <w:autoSpaceDE w:val="0"/>
        <w:autoSpaceDN w:val="0"/>
        <w:adjustRightInd w:val="0"/>
        <w:spacing w:after="0" w:line="221" w:lineRule="auto"/>
        <w:ind w:left="440" w:righ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En las </w:t>
      </w:r>
      <w:r>
        <w:rPr>
          <w:rFonts w:ascii="Arial" w:hAnsi="Arial" w:cs="Arial"/>
          <w:b/>
          <w:bCs/>
        </w:rPr>
        <w:t>páginas 7</w:t>
      </w:r>
      <w:r>
        <w:rPr>
          <w:rFonts w:ascii="Arial" w:hAnsi="Arial" w:cs="Arial"/>
        </w:rPr>
        <w:t xml:space="preserve"> se establece el proceso operativo para el registro de las operaciones de factoring.</w:t>
      </w: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overflowPunct w:val="0"/>
        <w:autoSpaceDE w:val="0"/>
        <w:autoSpaceDN w:val="0"/>
        <w:adjustRightInd w:val="0"/>
        <w:spacing w:after="0" w:line="218" w:lineRule="auto"/>
        <w:ind w:left="440" w:righ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CAPITULO – VII COMPROMISOS, SEGUIMIENTO Y CONTROL Y PROCESO INVESTIGATIVO Y DE CONTROL</w:t>
      </w: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overflowPunct w:val="0"/>
        <w:autoSpaceDE w:val="0"/>
        <w:autoSpaceDN w:val="0"/>
        <w:adjustRightInd w:val="0"/>
        <w:spacing w:after="0" w:line="219" w:lineRule="auto"/>
        <w:ind w:left="440" w:righ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En la </w:t>
      </w:r>
      <w:r>
        <w:rPr>
          <w:rFonts w:ascii="Arial" w:hAnsi="Arial" w:cs="Arial"/>
          <w:b/>
          <w:bCs/>
        </w:rPr>
        <w:t>página 12</w:t>
      </w:r>
      <w:r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establece la forma en la que FINAGRO efectuará el seguimiento selectivo de las operaciones de factoring.</w:t>
      </w: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overflowPunct w:val="0"/>
        <w:autoSpaceDE w:val="0"/>
        <w:autoSpaceDN w:val="0"/>
        <w:adjustRightInd w:val="0"/>
        <w:spacing w:after="0" w:line="219" w:lineRule="auto"/>
        <w:ind w:left="440" w:righ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Como ya es habitual, se envía en su totalidad los Capítulos I, III, VI y VII y no sólo las páginas que sufrieron modificación.</w:t>
      </w: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overflowPunct w:val="0"/>
        <w:autoSpaceDE w:val="0"/>
        <w:autoSpaceDN w:val="0"/>
        <w:adjustRightInd w:val="0"/>
        <w:spacing w:after="0" w:line="219" w:lineRule="auto"/>
        <w:ind w:left="440" w:righ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Cualquier consulta sobre el particular será atendida por la Gerencia Comercial y la Dirección del FAG.</w:t>
      </w: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Cordial saludo,</w:t>
      </w: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ANDRÉS PARIAS GARZÓN</w:t>
      </w: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Representante Legal-Secretario General</w:t>
      </w: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39" w:lineRule="auto"/>
        <w:ind w:left="40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Página 2 de 2</w:t>
      </w:r>
    </w:p>
    <w:p w:rsidR="00000000" w:rsidRDefault="00A32A4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6" w:h="16838"/>
      <w:pgMar w:top="700" w:right="1260" w:bottom="599" w:left="1260" w:header="720" w:footer="720" w:gutter="0"/>
      <w:cols w:space="720" w:equalWidth="0">
        <w:col w:w="93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A44"/>
    <w:rsid w:val="00A3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2</ap:Pages>
  <ap:Words>457</ap:Words>
  <ap:Characters>2606</ap:Characters>
  <ap:Application>convertonlinefree.com</ap:Application>
  <ap:DocSecurity>4</ap:DocSecurity>
  <ap:Lines>21</ap:Lines>
  <ap:Paragraphs>6</ap:Paragraphs>
  <ap:ScaleCrop>false</ap:ScaleCrop>
  <ap:Company/>
  <ap:LinksUpToDate>false</ap:LinksUpToDate>
  <ap:CharactersWithSpaces>3057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2015-06-16T19:09:00Z</dcterms:created>
  <dcterms:modified xsi:type="dcterms:W3CDTF">2015-06-16T19:09:00Z</dcterms:modified>
</cp:coreProperties>
</file>