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5A" w:rsidRDefault="0036705A" w:rsidP="0036705A">
      <w:pPr>
        <w:ind w:right="49"/>
        <w:jc w:val="both"/>
        <w:rPr>
          <w:rFonts w:ascii="Arial" w:hAnsi="Arial" w:cs="Arial"/>
          <w:color w:val="000000"/>
          <w:spacing w:val="-2"/>
          <w:sz w:val="22"/>
          <w:szCs w:val="22"/>
          <w:lang w:val="es-ES_tradnl"/>
        </w:rPr>
      </w:pPr>
      <w:r w:rsidRPr="00985B1D">
        <w:rPr>
          <w:rFonts w:ascii="Arial" w:hAnsi="Arial" w:cs="Arial"/>
          <w:color w:val="000000"/>
          <w:spacing w:val="-2"/>
          <w:sz w:val="22"/>
          <w:szCs w:val="22"/>
          <w:lang w:val="es-ES_tradnl"/>
        </w:rPr>
        <w:t xml:space="preserve">Podrán efectuarse reestructuraciones de créditos reestructurados, cuando así lo considere el intermediario financiero. </w:t>
      </w:r>
    </w:p>
    <w:p w:rsidR="0036705A" w:rsidRDefault="0036705A" w:rsidP="0036705A">
      <w:pPr>
        <w:shd w:val="clear" w:color="auto" w:fill="FFFFFF"/>
        <w:tabs>
          <w:tab w:val="left" w:pos="8460"/>
        </w:tabs>
        <w:ind w:left="36" w:right="44"/>
        <w:jc w:val="both"/>
        <w:rPr>
          <w:rFonts w:ascii="Arial" w:hAnsi="Arial" w:cs="Arial"/>
          <w:color w:val="000000"/>
          <w:spacing w:val="-2"/>
          <w:sz w:val="22"/>
          <w:szCs w:val="22"/>
          <w:lang w:val="es-ES_tradnl"/>
        </w:rPr>
      </w:pPr>
    </w:p>
    <w:p w:rsidR="0036705A" w:rsidRDefault="0036705A" w:rsidP="0036705A">
      <w:pPr>
        <w:shd w:val="clear" w:color="auto" w:fill="FFFFFF"/>
        <w:tabs>
          <w:tab w:val="left" w:pos="8460"/>
        </w:tabs>
        <w:ind w:left="36" w:right="44"/>
        <w:jc w:val="both"/>
        <w:rPr>
          <w:rFonts w:ascii="Arial" w:hAnsi="Arial" w:cs="Arial"/>
          <w:color w:val="000000"/>
          <w:spacing w:val="-4"/>
          <w:sz w:val="22"/>
          <w:szCs w:val="22"/>
          <w:lang w:val="es-ES_tradnl"/>
        </w:rPr>
      </w:pPr>
      <w:r w:rsidRPr="00985B1D">
        <w:rPr>
          <w:rFonts w:ascii="Arial" w:hAnsi="Arial" w:cs="Arial"/>
          <w:color w:val="000000"/>
          <w:spacing w:val="-2"/>
          <w:sz w:val="22"/>
          <w:szCs w:val="22"/>
          <w:lang w:val="es-ES_tradnl"/>
        </w:rPr>
        <w:t xml:space="preserve">Las reestructuraciones deben ser presentadas ante la Dirección de Cartera de FINAGRO, por </w:t>
      </w:r>
      <w:r w:rsidRPr="00985B1D">
        <w:rPr>
          <w:rFonts w:ascii="Arial" w:hAnsi="Arial" w:cs="Arial"/>
          <w:color w:val="000000"/>
          <w:spacing w:val="1"/>
          <w:sz w:val="22"/>
          <w:szCs w:val="22"/>
          <w:lang w:val="es-ES_tradnl"/>
        </w:rPr>
        <w:t xml:space="preserve">lo menos cinco (5) días hábiles antes del próximo vencimiento del crédito a reestructurar. Por lo </w:t>
      </w:r>
      <w:r w:rsidRPr="00985B1D">
        <w:rPr>
          <w:rFonts w:ascii="Arial" w:hAnsi="Arial" w:cs="Arial"/>
          <w:color w:val="000000"/>
          <w:spacing w:val="2"/>
          <w:sz w:val="22"/>
          <w:szCs w:val="22"/>
          <w:lang w:val="es-ES_tradnl"/>
        </w:rPr>
        <w:t xml:space="preserve">tanto, las reestructuraciones que requieran de calificación previa por parte de FINAGRO, </w:t>
      </w:r>
      <w:r w:rsidRPr="00985B1D">
        <w:rPr>
          <w:rFonts w:ascii="Arial" w:hAnsi="Arial" w:cs="Arial"/>
          <w:color w:val="000000"/>
          <w:sz w:val="22"/>
          <w:szCs w:val="22"/>
          <w:lang w:val="es-ES_tradnl"/>
        </w:rPr>
        <w:t xml:space="preserve">deberán ser presentadas ante el Fondo con la suficiente anticipación para surtir este trámite, </w:t>
      </w:r>
      <w:r w:rsidRPr="00985B1D">
        <w:rPr>
          <w:rFonts w:ascii="Arial" w:hAnsi="Arial" w:cs="Arial"/>
          <w:color w:val="000000"/>
          <w:spacing w:val="-1"/>
          <w:sz w:val="22"/>
          <w:szCs w:val="22"/>
          <w:lang w:val="es-ES_tradnl"/>
        </w:rPr>
        <w:t xml:space="preserve">teniendo en cuenta que FINAGRO dispondrá de cinco (5) días hábiles, contados a partir de la </w:t>
      </w:r>
      <w:r w:rsidRPr="00985B1D">
        <w:rPr>
          <w:rFonts w:ascii="Arial" w:hAnsi="Arial" w:cs="Arial"/>
          <w:color w:val="000000"/>
          <w:spacing w:val="-4"/>
          <w:sz w:val="22"/>
          <w:szCs w:val="22"/>
          <w:lang w:val="es-ES_tradnl"/>
        </w:rPr>
        <w:t>fecha de recibo de la respectiva solicitud, para autorizar la calificación previa.</w:t>
      </w:r>
    </w:p>
    <w:p w:rsidR="0036705A" w:rsidRPr="00985B1D" w:rsidRDefault="0036705A" w:rsidP="0036705A">
      <w:pPr>
        <w:shd w:val="clear" w:color="auto" w:fill="FFFFFF"/>
        <w:tabs>
          <w:tab w:val="left" w:pos="8460"/>
        </w:tabs>
        <w:ind w:left="36" w:right="44"/>
        <w:jc w:val="both"/>
        <w:rPr>
          <w:rFonts w:ascii="Arial" w:hAnsi="Arial" w:cs="Arial"/>
          <w:color w:val="000000"/>
          <w:spacing w:val="-4"/>
          <w:sz w:val="22"/>
          <w:szCs w:val="22"/>
          <w:lang w:val="es-ES_tradnl"/>
        </w:rPr>
      </w:pPr>
    </w:p>
    <w:p w:rsidR="0036705A" w:rsidRDefault="0036705A" w:rsidP="0036705A">
      <w:pPr>
        <w:shd w:val="clear" w:color="auto" w:fill="FFFFFF"/>
        <w:tabs>
          <w:tab w:val="left" w:pos="8460"/>
        </w:tabs>
        <w:ind w:left="36" w:right="44"/>
        <w:jc w:val="both"/>
        <w:rPr>
          <w:rFonts w:ascii="Arial" w:hAnsi="Arial" w:cs="Arial"/>
          <w:b/>
          <w:bCs/>
          <w:color w:val="000000"/>
          <w:sz w:val="22"/>
          <w:szCs w:val="22"/>
          <w:lang w:val="es-ES_tradnl"/>
        </w:rPr>
      </w:pPr>
      <w:r w:rsidRPr="00985B1D">
        <w:rPr>
          <w:rFonts w:ascii="Arial" w:hAnsi="Arial" w:cs="Arial"/>
          <w:b/>
          <w:bCs/>
          <w:color w:val="000000"/>
          <w:sz w:val="22"/>
          <w:szCs w:val="22"/>
          <w:lang w:val="es-ES_tradnl"/>
        </w:rPr>
        <w:t>Refinanciación de créditos agropecuarios.</w:t>
      </w:r>
    </w:p>
    <w:p w:rsidR="0036705A" w:rsidRPr="00985B1D" w:rsidRDefault="0036705A" w:rsidP="0036705A">
      <w:pPr>
        <w:shd w:val="clear" w:color="auto" w:fill="FFFFFF"/>
        <w:tabs>
          <w:tab w:val="left" w:pos="8460"/>
        </w:tabs>
        <w:ind w:left="36" w:right="44"/>
        <w:jc w:val="both"/>
        <w:rPr>
          <w:rFonts w:ascii="Arial" w:hAnsi="Arial" w:cs="Arial"/>
          <w:sz w:val="22"/>
          <w:szCs w:val="22"/>
        </w:rPr>
      </w:pPr>
    </w:p>
    <w:p w:rsidR="0036705A" w:rsidRDefault="0036705A" w:rsidP="0036705A">
      <w:pPr>
        <w:shd w:val="clear" w:color="auto" w:fill="FFFFFF"/>
        <w:ind w:left="18"/>
        <w:jc w:val="both"/>
        <w:rPr>
          <w:rFonts w:ascii="Arial" w:hAnsi="Arial" w:cs="Arial"/>
          <w:color w:val="000000"/>
          <w:spacing w:val="-1"/>
          <w:sz w:val="22"/>
          <w:szCs w:val="22"/>
          <w:lang w:val="es-ES_tradnl"/>
        </w:rPr>
      </w:pPr>
      <w:r w:rsidRPr="00985B1D">
        <w:rPr>
          <w:rFonts w:ascii="Arial" w:hAnsi="Arial" w:cs="Arial"/>
          <w:color w:val="000000"/>
          <w:spacing w:val="-4"/>
          <w:sz w:val="22"/>
          <w:szCs w:val="22"/>
          <w:lang w:val="es-ES_tradnl"/>
        </w:rPr>
        <w:t xml:space="preserve">Se entiende por refinanciación de créditos agropecuarios, el otorgamiento de un nuevo crédito a </w:t>
      </w:r>
      <w:r w:rsidRPr="00985B1D">
        <w:rPr>
          <w:rFonts w:ascii="Arial" w:hAnsi="Arial" w:cs="Arial"/>
          <w:color w:val="000000"/>
          <w:spacing w:val="2"/>
          <w:sz w:val="22"/>
          <w:szCs w:val="22"/>
          <w:lang w:val="es-ES_tradnl"/>
        </w:rPr>
        <w:t xml:space="preserve">un usuario para recoger créditos agropecuarios concedidos en condiciones FINAGRO, </w:t>
      </w:r>
      <w:proofErr w:type="spellStart"/>
      <w:r w:rsidRPr="00985B1D">
        <w:rPr>
          <w:rFonts w:ascii="Arial" w:hAnsi="Arial" w:cs="Arial"/>
          <w:color w:val="000000"/>
          <w:spacing w:val="1"/>
          <w:sz w:val="22"/>
          <w:szCs w:val="22"/>
          <w:lang w:val="es-ES_tradnl"/>
        </w:rPr>
        <w:t>redescontados</w:t>
      </w:r>
      <w:proofErr w:type="spellEnd"/>
      <w:r w:rsidRPr="00985B1D">
        <w:rPr>
          <w:rFonts w:ascii="Arial" w:hAnsi="Arial" w:cs="Arial"/>
          <w:color w:val="000000"/>
          <w:spacing w:val="1"/>
          <w:sz w:val="22"/>
          <w:szCs w:val="22"/>
          <w:lang w:val="es-ES_tradnl"/>
        </w:rPr>
        <w:t xml:space="preserve"> o concedidos con recursos propios de los intermediarios financieros, por un </w:t>
      </w:r>
      <w:r w:rsidRPr="00985B1D">
        <w:rPr>
          <w:rFonts w:ascii="Arial" w:hAnsi="Arial" w:cs="Arial"/>
          <w:color w:val="000000"/>
          <w:spacing w:val="-3"/>
          <w:sz w:val="22"/>
          <w:szCs w:val="22"/>
          <w:lang w:val="es-ES_tradnl"/>
        </w:rPr>
        <w:t xml:space="preserve">valor igual, superior o inferior al saldo de capital, los intereses corrientes y de mora hasta por 90 </w:t>
      </w:r>
      <w:r w:rsidRPr="00985B1D">
        <w:rPr>
          <w:rFonts w:ascii="Arial" w:hAnsi="Arial" w:cs="Arial"/>
          <w:color w:val="000000"/>
          <w:spacing w:val="-4"/>
          <w:sz w:val="22"/>
          <w:szCs w:val="22"/>
          <w:lang w:val="es-ES_tradnl"/>
        </w:rPr>
        <w:t xml:space="preserve">días de los créditos recogidos, cuando el pago de dichos créditos se ha visto perturbado o pueda </w:t>
      </w:r>
      <w:r w:rsidRPr="00985B1D">
        <w:rPr>
          <w:rFonts w:ascii="Arial" w:hAnsi="Arial" w:cs="Arial"/>
          <w:color w:val="000000"/>
          <w:spacing w:val="2"/>
          <w:sz w:val="22"/>
          <w:szCs w:val="22"/>
          <w:lang w:val="es-ES_tradnl"/>
        </w:rPr>
        <w:t xml:space="preserve">verse perturbado por la ocurrencia de una situación económica crítica certificada por el Ministerio de Agricultura y Desarrollo Rural, para que FINAGRO expida la reglamentación </w:t>
      </w:r>
      <w:r w:rsidRPr="00985B1D">
        <w:rPr>
          <w:rFonts w:ascii="Arial" w:hAnsi="Arial" w:cs="Arial"/>
          <w:color w:val="000000"/>
          <w:spacing w:val="4"/>
          <w:sz w:val="22"/>
          <w:szCs w:val="22"/>
          <w:lang w:val="es-ES_tradnl"/>
        </w:rPr>
        <w:t xml:space="preserve">específica y los beneficiarios interesados puedan presentar sus solicitudes ante los </w:t>
      </w:r>
      <w:r w:rsidRPr="00985B1D">
        <w:rPr>
          <w:rFonts w:ascii="Arial" w:hAnsi="Arial" w:cs="Arial"/>
          <w:color w:val="000000"/>
          <w:spacing w:val="-1"/>
          <w:sz w:val="22"/>
          <w:szCs w:val="22"/>
          <w:lang w:val="es-ES_tradnl"/>
        </w:rPr>
        <w:t xml:space="preserve">intermediarios financieros. Cuando se refinancien créditos para sostenimiento de café otorgados a productores afectados por la ola invernal </w:t>
      </w:r>
      <w:r w:rsidRPr="00985B1D">
        <w:rPr>
          <w:rFonts w:ascii="Arial" w:hAnsi="Arial" w:cs="Arial"/>
          <w:b/>
          <w:color w:val="000000"/>
          <w:spacing w:val="-1"/>
          <w:sz w:val="22"/>
          <w:szCs w:val="22"/>
          <w:lang w:val="es-ES_tradnl"/>
        </w:rPr>
        <w:t>2008-2009</w:t>
      </w:r>
      <w:r w:rsidRPr="00985B1D">
        <w:rPr>
          <w:rFonts w:ascii="Arial" w:hAnsi="Arial" w:cs="Arial"/>
          <w:color w:val="000000"/>
          <w:spacing w:val="-1"/>
          <w:sz w:val="22"/>
          <w:szCs w:val="22"/>
          <w:lang w:val="es-ES_tradnl"/>
        </w:rPr>
        <w:t xml:space="preserve"> se podrán conceder con plazos hasta de tres (3) años.</w:t>
      </w:r>
    </w:p>
    <w:p w:rsidR="0036705A" w:rsidRPr="00985B1D" w:rsidRDefault="0036705A" w:rsidP="0036705A">
      <w:pPr>
        <w:shd w:val="clear" w:color="auto" w:fill="FFFFFF"/>
        <w:ind w:left="18"/>
        <w:jc w:val="both"/>
        <w:rPr>
          <w:rFonts w:ascii="Arial" w:hAnsi="Arial" w:cs="Arial"/>
          <w:color w:val="000000"/>
          <w:spacing w:val="-1"/>
          <w:sz w:val="22"/>
          <w:szCs w:val="22"/>
          <w:lang w:val="es-ES_tradnl"/>
        </w:rPr>
      </w:pPr>
    </w:p>
    <w:p w:rsidR="0036705A" w:rsidRDefault="0036705A" w:rsidP="0036705A">
      <w:pPr>
        <w:shd w:val="clear" w:color="auto" w:fill="FFFFFF"/>
        <w:ind w:left="18"/>
        <w:jc w:val="both"/>
        <w:rPr>
          <w:rFonts w:ascii="Arial" w:hAnsi="Arial" w:cs="Arial"/>
          <w:b/>
          <w:bCs/>
          <w:color w:val="000000"/>
          <w:spacing w:val="-2"/>
          <w:sz w:val="22"/>
          <w:szCs w:val="22"/>
          <w:lang w:val="es-ES_tradnl"/>
        </w:rPr>
      </w:pPr>
      <w:r w:rsidRPr="00985B1D">
        <w:rPr>
          <w:rFonts w:ascii="Arial" w:hAnsi="Arial" w:cs="Arial"/>
          <w:b/>
          <w:bCs/>
          <w:color w:val="000000"/>
          <w:spacing w:val="-2"/>
          <w:sz w:val="22"/>
          <w:szCs w:val="22"/>
          <w:lang w:val="es-ES_tradnl"/>
        </w:rPr>
        <w:t>Consolidación de pasivos.</w:t>
      </w:r>
    </w:p>
    <w:p w:rsidR="0036705A" w:rsidRPr="00985B1D" w:rsidRDefault="0036705A" w:rsidP="0036705A">
      <w:pPr>
        <w:shd w:val="clear" w:color="auto" w:fill="FFFFFF"/>
        <w:ind w:left="18"/>
        <w:jc w:val="both"/>
        <w:rPr>
          <w:rFonts w:ascii="Arial" w:hAnsi="Arial" w:cs="Arial"/>
          <w:b/>
          <w:bCs/>
          <w:color w:val="000000"/>
          <w:spacing w:val="-2"/>
          <w:sz w:val="22"/>
          <w:szCs w:val="22"/>
          <w:lang w:val="es-ES_tradnl"/>
        </w:rPr>
      </w:pPr>
    </w:p>
    <w:p w:rsidR="0036705A" w:rsidRPr="00985B1D" w:rsidRDefault="0036705A" w:rsidP="0036705A">
      <w:pPr>
        <w:shd w:val="clear" w:color="auto" w:fill="FFFFFF"/>
        <w:ind w:left="18"/>
        <w:jc w:val="both"/>
        <w:rPr>
          <w:rFonts w:ascii="Arial" w:hAnsi="Arial" w:cs="Arial"/>
          <w:sz w:val="22"/>
          <w:szCs w:val="22"/>
        </w:rPr>
      </w:pPr>
      <w:r w:rsidRPr="00985B1D">
        <w:rPr>
          <w:rFonts w:ascii="Arial" w:hAnsi="Arial" w:cs="Arial"/>
          <w:sz w:val="22"/>
          <w:szCs w:val="22"/>
        </w:rPr>
        <w:t xml:space="preserve">Permite recoger en un nuevo crédito, pasivos vigentes o vencidos con el sector financiero que hayan sido otorgados originalmente con recursos de redescuento o recursos propios de las instituciones financieras como cartera sustitutiva o cartera agropecuaria y en condiciones FINAGRO, y que el nuevo flujo de fondos genere los recursos suficientes para el pago del crédito consolidado y sus intereses. La consolidación de pasivos procede para uno o más créditos que el beneficiario tenga con instituciones financieras, pudiéndose reunir en el nuevo crédito los saldos a capital y los intereses corrientes causados pendientes de pago. </w:t>
      </w:r>
    </w:p>
    <w:p w:rsidR="0036705A" w:rsidRPr="00985B1D" w:rsidRDefault="0036705A" w:rsidP="0036705A">
      <w:pPr>
        <w:jc w:val="both"/>
        <w:rPr>
          <w:rFonts w:ascii="Arial" w:hAnsi="Arial" w:cs="Arial"/>
          <w:sz w:val="22"/>
          <w:szCs w:val="22"/>
          <w:highlight w:val="yellow"/>
        </w:rPr>
      </w:pPr>
    </w:p>
    <w:p w:rsidR="0036705A" w:rsidRPr="00EB7BB9" w:rsidRDefault="00F64DD7" w:rsidP="0036705A">
      <w:pPr>
        <w:jc w:val="both"/>
        <w:rPr>
          <w:rFonts w:ascii="Arial" w:hAnsi="Arial" w:cs="Arial"/>
          <w:sz w:val="22"/>
          <w:szCs w:val="22"/>
        </w:rPr>
      </w:pPr>
      <w:r>
        <w:rPr>
          <w:rFonts w:ascii="Arial" w:hAnsi="Arial" w:cs="Arial"/>
          <w:noProof/>
          <w:sz w:val="22"/>
          <w:szCs w:val="22"/>
          <w:lang w:val="es-CO" w:eastAsia="es-CO"/>
        </w:rPr>
        <w:pict>
          <v:shapetype id="_x0000_t32" coordsize="21600,21600" o:spt="32" o:oned="t" path="m,l21600,21600e" filled="f">
            <v:path arrowok="t" fillok="f" o:connecttype="none"/>
            <o:lock v:ext="edit" shapetype="t"/>
          </v:shapetype>
          <v:shape id="_x0000_s1046" type="#_x0000_t32" style="position:absolute;left:0;text-align:left;margin-left:-21.2pt;margin-top:66.65pt;width:.05pt;height:326.8pt;z-index:251661312" o:connectortype="straight" strokecolor="#f2f2f2" strokeweight="3pt">
            <v:shadow type="perspective" color="#7f7f7f" opacity=".5" offset="1pt" offset2="-1pt"/>
          </v:shape>
        </w:pict>
      </w:r>
      <w:r w:rsidR="0036705A" w:rsidRPr="00985B1D">
        <w:rPr>
          <w:rFonts w:ascii="Arial" w:hAnsi="Arial" w:cs="Arial"/>
          <w:sz w:val="22"/>
          <w:szCs w:val="22"/>
        </w:rPr>
        <w:t xml:space="preserve">El plazo y periodo de gracia de la consolidación se acordará entre el intermediario financiero y su cliente, de acuerdo al nuevo flujo de caja de la actividad productiva; y si durante la vigencia de la consolidación el intermediario financiero lo considera pertinente, podrá acordar un cambio en la tasa de interés, sin que en ningún caso </w:t>
      </w:r>
      <w:r w:rsidR="0036705A" w:rsidRPr="00EB7BB9">
        <w:rPr>
          <w:rFonts w:ascii="Arial" w:hAnsi="Arial" w:cs="Arial"/>
          <w:sz w:val="22"/>
          <w:szCs w:val="22"/>
        </w:rPr>
        <w:t xml:space="preserve">se superen los topes establecidos para cada tipo de productor señalados en la reglamentación, para lo cual, deberá registrar la operación ante la Dirección de Cartera de FINAGRO, utilizando los códigos de norma legal dispuestos en el numeral VII.I del Anexo II Capítulo I del presente Manual de Servicios. </w:t>
      </w:r>
    </w:p>
    <w:p w:rsidR="0036705A" w:rsidRPr="00EB7BB9" w:rsidRDefault="0036705A" w:rsidP="0036705A">
      <w:pPr>
        <w:jc w:val="both"/>
        <w:rPr>
          <w:rFonts w:ascii="Arial" w:hAnsi="Arial" w:cs="Arial"/>
          <w:sz w:val="22"/>
          <w:szCs w:val="22"/>
        </w:rPr>
      </w:pPr>
    </w:p>
    <w:p w:rsidR="0036705A" w:rsidRDefault="00F64DD7" w:rsidP="0036705A">
      <w:pPr>
        <w:jc w:val="both"/>
        <w:rPr>
          <w:rFonts w:ascii="Arial" w:hAnsi="Arial" w:cs="Arial"/>
          <w:sz w:val="21"/>
          <w:szCs w:val="21"/>
        </w:rPr>
      </w:pPr>
      <w:r w:rsidRPr="00F64DD7">
        <w:rPr>
          <w:rFonts w:ascii="Arial" w:hAnsi="Arial" w:cs="Arial"/>
          <w:noProof/>
          <w:sz w:val="22"/>
          <w:szCs w:val="22"/>
        </w:rPr>
        <w:pict>
          <v:shapetype id="_x0000_t202" coordsize="21600,21600" o:spt="202" path="m,l,21600r21600,l21600,xe">
            <v:stroke joinstyle="miter"/>
            <v:path gradientshapeok="t" o:connecttype="rect"/>
          </v:shapetype>
          <v:shape id="_x0000_s1045" type="#_x0000_t202" style="position:absolute;left:0;text-align:left;margin-left:152.2pt;margin-top:714.25pt;width:137.9pt;height:49.25pt;z-index:251660288;mso-position-vertical-relative:page" o:allowoverlap="f" filled="f" stroked="f">
            <o:lock v:ext="edit" aspectratio="t"/>
            <v:textbox style="mso-next-textbox:#_x0000_s1045">
              <w:txbxContent>
                <w:p w:rsidR="0036705A" w:rsidRDefault="0036705A" w:rsidP="0036705A">
                  <w:pPr>
                    <w:jc w:val="center"/>
                    <w:rPr>
                      <w:rFonts w:ascii="Arial" w:hAnsi="Arial" w:cs="Arial"/>
                      <w:b/>
                      <w:color w:val="808080"/>
                      <w:sz w:val="22"/>
                      <w:szCs w:val="22"/>
                    </w:rPr>
                  </w:pPr>
                  <w:r w:rsidRPr="00F371D8">
                    <w:rPr>
                      <w:rFonts w:ascii="Arial" w:hAnsi="Arial" w:cs="Arial"/>
                      <w:b/>
                      <w:color w:val="808080"/>
                      <w:sz w:val="22"/>
                      <w:szCs w:val="22"/>
                    </w:rPr>
                    <w:t>Página 23</w:t>
                  </w:r>
                </w:p>
                <w:p w:rsidR="0036705A" w:rsidRPr="00F371D8" w:rsidRDefault="0036705A" w:rsidP="0036705A">
                  <w:pPr>
                    <w:jc w:val="center"/>
                    <w:rPr>
                      <w:rFonts w:ascii="Arial" w:hAnsi="Arial" w:cs="Arial"/>
                      <w:b/>
                      <w:color w:val="808080"/>
                      <w:sz w:val="22"/>
                      <w:szCs w:val="22"/>
                    </w:rPr>
                  </w:pPr>
                </w:p>
                <w:p w:rsidR="0036705A" w:rsidRDefault="0036705A" w:rsidP="0036705A">
                  <w:pPr>
                    <w:jc w:val="center"/>
                  </w:pPr>
                </w:p>
                <w:p w:rsidR="0036705A" w:rsidRDefault="0036705A" w:rsidP="0036705A">
                  <w:pPr>
                    <w:jc w:val="center"/>
                    <w:rPr>
                      <w:rFonts w:ascii="Arial" w:hAnsi="Arial" w:cs="Arial"/>
                      <w:b/>
                      <w:color w:val="808080"/>
                    </w:rPr>
                  </w:pPr>
                </w:p>
              </w:txbxContent>
            </v:textbox>
            <w10:wrap anchory="page"/>
          </v:shape>
        </w:pict>
      </w:r>
    </w:p>
    <w:p w:rsidR="0036705A" w:rsidRPr="00B26008" w:rsidRDefault="0036705A" w:rsidP="0036705A">
      <w:pPr>
        <w:jc w:val="both"/>
        <w:rPr>
          <w:rFonts w:ascii="Arial" w:hAnsi="Arial" w:cs="Arial"/>
          <w:bCs/>
          <w:color w:val="000000"/>
          <w:spacing w:val="-2"/>
          <w:sz w:val="21"/>
          <w:szCs w:val="21"/>
        </w:rPr>
      </w:pPr>
      <w:r w:rsidRPr="00B26008">
        <w:rPr>
          <w:rFonts w:ascii="Arial" w:hAnsi="Arial" w:cs="Arial"/>
          <w:sz w:val="21"/>
          <w:szCs w:val="21"/>
        </w:rPr>
        <w:lastRenderedPageBreak/>
        <w:t>En operaciones de programas especiales de líneas con tasas subsidiadas se perderá el subsidio de tasa a partir de la fecha de la consolidación.</w:t>
      </w:r>
    </w:p>
    <w:p w:rsidR="0036705A" w:rsidRPr="00692300" w:rsidRDefault="00F64DD7" w:rsidP="0036705A">
      <w:pPr>
        <w:shd w:val="clear" w:color="auto" w:fill="FFFFFF"/>
        <w:spacing w:before="240" w:line="246" w:lineRule="exact"/>
        <w:ind w:right="24"/>
        <w:jc w:val="both"/>
        <w:rPr>
          <w:rFonts w:ascii="Arial" w:hAnsi="Arial" w:cs="Arial"/>
          <w:b/>
          <w:sz w:val="21"/>
          <w:szCs w:val="21"/>
        </w:rPr>
      </w:pPr>
      <w:r>
        <w:rPr>
          <w:rFonts w:ascii="Arial" w:hAnsi="Arial" w:cs="Arial"/>
          <w:b/>
          <w:noProof/>
          <w:sz w:val="21"/>
          <w:szCs w:val="21"/>
          <w:lang w:val="es-CO" w:eastAsia="es-CO"/>
        </w:rPr>
        <w:pict>
          <v:shape id="_x0000_s1047" type="#_x0000_t32" style="position:absolute;left:0;text-align:left;margin-left:-27.1pt;margin-top:17.6pt;width:.05pt;height:.05pt;z-index:251662336" o:connectortype="straight"/>
        </w:pict>
      </w:r>
      <w:r w:rsidR="0036705A" w:rsidRPr="00692300">
        <w:rPr>
          <w:rFonts w:ascii="Arial" w:hAnsi="Arial" w:cs="Arial"/>
          <w:b/>
          <w:sz w:val="21"/>
          <w:szCs w:val="21"/>
        </w:rPr>
        <w:t xml:space="preserve">Normalización de Pasivos Financieros no </w:t>
      </w:r>
      <w:proofErr w:type="spellStart"/>
      <w:r w:rsidR="0036705A" w:rsidRPr="00692300">
        <w:rPr>
          <w:rFonts w:ascii="Arial" w:hAnsi="Arial" w:cs="Arial"/>
          <w:b/>
          <w:sz w:val="21"/>
          <w:szCs w:val="21"/>
        </w:rPr>
        <w:t>redescontados</w:t>
      </w:r>
      <w:proofErr w:type="spellEnd"/>
      <w:r w:rsidR="0036705A" w:rsidRPr="00692300">
        <w:rPr>
          <w:rFonts w:ascii="Arial" w:hAnsi="Arial" w:cs="Arial"/>
          <w:b/>
          <w:sz w:val="21"/>
          <w:szCs w:val="21"/>
        </w:rPr>
        <w:t xml:space="preserve"> o registrados en FINAGRO</w:t>
      </w:r>
    </w:p>
    <w:p w:rsidR="0036705A" w:rsidRPr="00692300" w:rsidRDefault="0036705A" w:rsidP="0036705A">
      <w:pPr>
        <w:shd w:val="clear" w:color="auto" w:fill="FFFFFF"/>
        <w:spacing w:before="240" w:line="246" w:lineRule="exact"/>
        <w:ind w:right="24"/>
        <w:jc w:val="both"/>
        <w:rPr>
          <w:rFonts w:ascii="Arial" w:hAnsi="Arial" w:cs="Arial"/>
          <w:spacing w:val="-2"/>
          <w:sz w:val="21"/>
          <w:szCs w:val="21"/>
          <w:lang w:val="es-ES_tradnl"/>
        </w:rPr>
      </w:pPr>
      <w:r w:rsidRPr="00692300">
        <w:rPr>
          <w:rFonts w:ascii="Arial" w:hAnsi="Arial" w:cs="Arial"/>
          <w:sz w:val="21"/>
          <w:szCs w:val="21"/>
        </w:rPr>
        <w:t xml:space="preserve">Con base en la Resolución No. 6 de 2013 de la Comisión Nacional de Crédito Agropecuario, </w:t>
      </w:r>
      <w:r>
        <w:rPr>
          <w:rFonts w:ascii="Arial" w:hAnsi="Arial" w:cs="Arial"/>
          <w:sz w:val="21"/>
          <w:szCs w:val="21"/>
        </w:rPr>
        <w:t xml:space="preserve">se podrán normalizar los pasivos financieros contraídos con </w:t>
      </w:r>
      <w:r w:rsidRPr="00692300">
        <w:rPr>
          <w:rFonts w:ascii="Arial" w:hAnsi="Arial" w:cs="Arial"/>
          <w:sz w:val="21"/>
          <w:szCs w:val="21"/>
        </w:rPr>
        <w:t xml:space="preserve">los intermediarios financieros habilitados para efectuar operaciones ante FINAGRO cuando a su juicio existan </w:t>
      </w:r>
      <w:r w:rsidRPr="00692300">
        <w:rPr>
          <w:rFonts w:ascii="Arial" w:hAnsi="Arial" w:cs="Arial"/>
          <w:spacing w:val="-2"/>
          <w:sz w:val="21"/>
          <w:szCs w:val="21"/>
          <w:lang w:val="es-ES_tradnl"/>
        </w:rPr>
        <w:t>razones justificadas de afectación del flujo de caja del beneficiario.</w:t>
      </w:r>
    </w:p>
    <w:p w:rsidR="0036705A" w:rsidRPr="00692300" w:rsidRDefault="0036705A" w:rsidP="0036705A">
      <w:pPr>
        <w:shd w:val="clear" w:color="auto" w:fill="FFFFFF"/>
        <w:spacing w:before="240" w:line="246" w:lineRule="exact"/>
        <w:ind w:right="24"/>
        <w:jc w:val="both"/>
        <w:rPr>
          <w:rFonts w:ascii="Arial" w:hAnsi="Arial" w:cs="Arial"/>
          <w:b/>
          <w:spacing w:val="-2"/>
          <w:sz w:val="21"/>
          <w:szCs w:val="21"/>
          <w:lang w:val="es-ES_tradnl"/>
        </w:rPr>
      </w:pPr>
      <w:r w:rsidRPr="00692300">
        <w:rPr>
          <w:rFonts w:ascii="Arial" w:hAnsi="Arial" w:cs="Arial"/>
          <w:b/>
          <w:spacing w:val="-2"/>
          <w:sz w:val="21"/>
          <w:szCs w:val="21"/>
          <w:lang w:val="es-ES_tradnl"/>
        </w:rPr>
        <w:t>Operaciones que se pueden normalizar</w:t>
      </w:r>
    </w:p>
    <w:p w:rsidR="0036705A" w:rsidRPr="00692300" w:rsidRDefault="0036705A" w:rsidP="0036705A">
      <w:pPr>
        <w:tabs>
          <w:tab w:val="left" w:pos="204"/>
        </w:tabs>
        <w:jc w:val="both"/>
        <w:rPr>
          <w:rFonts w:ascii="Arial" w:hAnsi="Arial" w:cs="Arial"/>
          <w:sz w:val="21"/>
          <w:szCs w:val="21"/>
        </w:rPr>
      </w:pPr>
    </w:p>
    <w:p w:rsidR="0036705A" w:rsidRPr="00692300" w:rsidRDefault="0036705A" w:rsidP="0036705A">
      <w:pPr>
        <w:pStyle w:val="Prrafodelista"/>
        <w:numPr>
          <w:ilvl w:val="0"/>
          <w:numId w:val="2"/>
        </w:numPr>
        <w:tabs>
          <w:tab w:val="left" w:pos="204"/>
        </w:tabs>
        <w:contextualSpacing/>
        <w:jc w:val="both"/>
        <w:rPr>
          <w:rFonts w:ascii="Arial" w:hAnsi="Arial" w:cs="Arial"/>
          <w:sz w:val="21"/>
          <w:szCs w:val="21"/>
        </w:rPr>
      </w:pPr>
      <w:r w:rsidRPr="00692300">
        <w:rPr>
          <w:rFonts w:ascii="Arial" w:hAnsi="Arial" w:cs="Arial"/>
          <w:sz w:val="21"/>
          <w:szCs w:val="21"/>
        </w:rPr>
        <w:t xml:space="preserve">Créditos desembolsados antes del 30 de junio de 2013, no </w:t>
      </w:r>
      <w:proofErr w:type="spellStart"/>
      <w:r w:rsidRPr="00692300">
        <w:rPr>
          <w:rFonts w:ascii="Arial" w:hAnsi="Arial" w:cs="Arial"/>
          <w:sz w:val="21"/>
          <w:szCs w:val="21"/>
        </w:rPr>
        <w:t>redescontados</w:t>
      </w:r>
      <w:proofErr w:type="spellEnd"/>
      <w:r w:rsidRPr="00692300">
        <w:rPr>
          <w:rFonts w:ascii="Arial" w:hAnsi="Arial" w:cs="Arial"/>
          <w:sz w:val="21"/>
          <w:szCs w:val="21"/>
        </w:rPr>
        <w:t xml:space="preserve"> ni registrados ante FINAGRO, que al momento de la normalización se encuentren vigentes o vencidos.</w:t>
      </w:r>
    </w:p>
    <w:p w:rsidR="0036705A" w:rsidRPr="00692300" w:rsidRDefault="0036705A" w:rsidP="0036705A">
      <w:pPr>
        <w:pStyle w:val="Prrafodelista"/>
        <w:tabs>
          <w:tab w:val="left" w:pos="204"/>
        </w:tabs>
        <w:jc w:val="both"/>
        <w:rPr>
          <w:rFonts w:ascii="Arial" w:hAnsi="Arial" w:cs="Arial"/>
          <w:sz w:val="21"/>
          <w:szCs w:val="21"/>
        </w:rPr>
      </w:pPr>
    </w:p>
    <w:p w:rsidR="0036705A" w:rsidRPr="00692300" w:rsidRDefault="0036705A" w:rsidP="0036705A">
      <w:pPr>
        <w:pStyle w:val="Prrafodelista"/>
        <w:numPr>
          <w:ilvl w:val="0"/>
          <w:numId w:val="2"/>
        </w:numPr>
        <w:tabs>
          <w:tab w:val="left" w:pos="204"/>
        </w:tabs>
        <w:contextualSpacing/>
        <w:jc w:val="both"/>
        <w:rPr>
          <w:rFonts w:ascii="Arial" w:hAnsi="Arial" w:cs="Arial"/>
          <w:sz w:val="21"/>
          <w:szCs w:val="21"/>
        </w:rPr>
      </w:pPr>
      <w:r w:rsidRPr="00692300">
        <w:rPr>
          <w:rFonts w:ascii="Arial" w:hAnsi="Arial" w:cs="Arial"/>
          <w:sz w:val="21"/>
          <w:szCs w:val="21"/>
        </w:rPr>
        <w:t>Que hayan sido utilizados para financiar actividades productivas agropecuarias, independientemente de las condiciones y tasas de interés con que fueron otorgados.</w:t>
      </w:r>
    </w:p>
    <w:p w:rsidR="0036705A" w:rsidRPr="00692300" w:rsidRDefault="0036705A" w:rsidP="0036705A">
      <w:pPr>
        <w:tabs>
          <w:tab w:val="left" w:pos="204"/>
        </w:tabs>
        <w:jc w:val="both"/>
        <w:rPr>
          <w:rFonts w:ascii="Arial" w:hAnsi="Arial" w:cs="Arial"/>
          <w:sz w:val="21"/>
          <w:szCs w:val="21"/>
        </w:rPr>
      </w:pPr>
    </w:p>
    <w:p w:rsidR="0036705A" w:rsidRPr="00692300" w:rsidRDefault="0036705A" w:rsidP="0036705A">
      <w:pPr>
        <w:tabs>
          <w:tab w:val="left" w:pos="204"/>
        </w:tabs>
        <w:jc w:val="both"/>
        <w:rPr>
          <w:rFonts w:ascii="Arial" w:hAnsi="Arial" w:cs="Arial"/>
          <w:b/>
          <w:sz w:val="21"/>
          <w:szCs w:val="21"/>
        </w:rPr>
      </w:pPr>
      <w:r w:rsidRPr="00692300">
        <w:rPr>
          <w:rFonts w:ascii="Arial" w:hAnsi="Arial" w:cs="Arial"/>
          <w:b/>
          <w:sz w:val="21"/>
          <w:szCs w:val="21"/>
        </w:rPr>
        <w:t>Recursos para la Normalización</w:t>
      </w:r>
    </w:p>
    <w:p w:rsidR="0036705A" w:rsidRPr="00692300" w:rsidRDefault="0036705A" w:rsidP="0036705A">
      <w:pPr>
        <w:tabs>
          <w:tab w:val="left" w:pos="204"/>
        </w:tabs>
        <w:jc w:val="both"/>
        <w:rPr>
          <w:rFonts w:ascii="Arial" w:hAnsi="Arial" w:cs="Arial"/>
          <w:sz w:val="21"/>
          <w:szCs w:val="21"/>
        </w:rPr>
      </w:pPr>
    </w:p>
    <w:p w:rsidR="0036705A" w:rsidRPr="00692300" w:rsidRDefault="0036705A" w:rsidP="0036705A">
      <w:pPr>
        <w:tabs>
          <w:tab w:val="left" w:pos="204"/>
        </w:tabs>
        <w:jc w:val="both"/>
        <w:rPr>
          <w:rFonts w:ascii="Arial" w:hAnsi="Arial" w:cs="Arial"/>
          <w:sz w:val="21"/>
          <w:szCs w:val="21"/>
        </w:rPr>
      </w:pPr>
      <w:r w:rsidRPr="00692300">
        <w:rPr>
          <w:rFonts w:ascii="Arial" w:hAnsi="Arial" w:cs="Arial"/>
          <w:sz w:val="21"/>
          <w:szCs w:val="21"/>
        </w:rPr>
        <w:t xml:space="preserve">Dichas normalizaciones podrán efectuarse con recursos de redescuento ante FINAGRO, o con recursos propios de los intermediarios financieros como cartera agropecuaria o sustitutiva de la inversión forzosa en los Títulos de Desarrollo Agropecuario. </w:t>
      </w:r>
    </w:p>
    <w:p w:rsidR="0036705A" w:rsidRPr="00692300" w:rsidRDefault="0036705A" w:rsidP="0036705A">
      <w:pPr>
        <w:tabs>
          <w:tab w:val="left" w:pos="204"/>
        </w:tabs>
        <w:jc w:val="both"/>
        <w:rPr>
          <w:rFonts w:ascii="Arial" w:hAnsi="Arial" w:cs="Arial"/>
          <w:sz w:val="21"/>
          <w:szCs w:val="21"/>
        </w:rPr>
      </w:pPr>
    </w:p>
    <w:p w:rsidR="0036705A" w:rsidRPr="00692300" w:rsidRDefault="0036705A" w:rsidP="0036705A">
      <w:pPr>
        <w:tabs>
          <w:tab w:val="left" w:pos="204"/>
        </w:tabs>
        <w:jc w:val="both"/>
        <w:rPr>
          <w:rFonts w:ascii="Arial" w:hAnsi="Arial" w:cs="Arial"/>
          <w:b/>
          <w:sz w:val="21"/>
          <w:szCs w:val="21"/>
        </w:rPr>
      </w:pPr>
      <w:r w:rsidRPr="00692300">
        <w:rPr>
          <w:rFonts w:ascii="Arial" w:hAnsi="Arial" w:cs="Arial"/>
          <w:b/>
          <w:sz w:val="21"/>
          <w:szCs w:val="21"/>
        </w:rPr>
        <w:t>Condiciones de la Normalización</w:t>
      </w:r>
    </w:p>
    <w:p w:rsidR="0036705A" w:rsidRPr="00692300" w:rsidRDefault="0036705A" w:rsidP="0036705A">
      <w:pPr>
        <w:tabs>
          <w:tab w:val="left" w:pos="204"/>
        </w:tabs>
        <w:jc w:val="both"/>
        <w:rPr>
          <w:rFonts w:ascii="Arial" w:hAnsi="Arial" w:cs="Arial"/>
          <w:sz w:val="21"/>
          <w:szCs w:val="21"/>
        </w:rPr>
      </w:pPr>
    </w:p>
    <w:p w:rsidR="0036705A" w:rsidRPr="005D6BF0" w:rsidRDefault="00F64DD7" w:rsidP="0036705A">
      <w:pPr>
        <w:pStyle w:val="Prrafodelista"/>
        <w:numPr>
          <w:ilvl w:val="0"/>
          <w:numId w:val="3"/>
        </w:numPr>
        <w:tabs>
          <w:tab w:val="left" w:pos="204"/>
        </w:tabs>
        <w:contextualSpacing/>
        <w:jc w:val="both"/>
        <w:rPr>
          <w:rFonts w:ascii="Arial" w:hAnsi="Arial" w:cs="Arial"/>
          <w:sz w:val="21"/>
          <w:szCs w:val="21"/>
        </w:rPr>
      </w:pPr>
      <w:r>
        <w:rPr>
          <w:rFonts w:ascii="Arial" w:hAnsi="Arial" w:cs="Arial"/>
          <w:noProof/>
          <w:sz w:val="21"/>
          <w:szCs w:val="21"/>
          <w:lang w:val="es-CO" w:eastAsia="es-CO"/>
        </w:rPr>
        <w:pict>
          <v:shape id="_x0000_s1049" type="#_x0000_t32" style="position:absolute;left:0;text-align:left;margin-left:2.5pt;margin-top:2.85pt;width:0;height:19pt;z-index:251663360" o:connectortype="straight"/>
        </w:pict>
      </w:r>
      <w:r w:rsidR="0036705A" w:rsidRPr="005D6BF0">
        <w:rPr>
          <w:rFonts w:ascii="Arial" w:hAnsi="Arial" w:cs="Arial"/>
          <w:sz w:val="21"/>
          <w:szCs w:val="21"/>
        </w:rPr>
        <w:t xml:space="preserve">Estos créditos normalizados deberán ser </w:t>
      </w:r>
      <w:proofErr w:type="spellStart"/>
      <w:r w:rsidR="0036705A" w:rsidRPr="005D6BF0">
        <w:rPr>
          <w:rFonts w:ascii="Arial" w:hAnsi="Arial" w:cs="Arial"/>
          <w:sz w:val="21"/>
          <w:szCs w:val="21"/>
        </w:rPr>
        <w:t>redescontados</w:t>
      </w:r>
      <w:proofErr w:type="spellEnd"/>
      <w:r w:rsidR="0036705A" w:rsidRPr="005D6BF0">
        <w:rPr>
          <w:rFonts w:ascii="Arial" w:hAnsi="Arial" w:cs="Arial"/>
          <w:sz w:val="21"/>
          <w:szCs w:val="21"/>
        </w:rPr>
        <w:t xml:space="preserve"> o registrados ante FINAGRO </w:t>
      </w:r>
      <w:r w:rsidR="00531EDD">
        <w:rPr>
          <w:rFonts w:ascii="Arial" w:hAnsi="Arial" w:cs="Arial"/>
          <w:sz w:val="21"/>
          <w:szCs w:val="21"/>
        </w:rPr>
        <w:t xml:space="preserve">hasta </w:t>
      </w:r>
      <w:r w:rsidR="0036705A" w:rsidRPr="005D6BF0">
        <w:rPr>
          <w:rFonts w:ascii="Arial" w:hAnsi="Arial" w:cs="Arial"/>
          <w:sz w:val="21"/>
          <w:szCs w:val="21"/>
        </w:rPr>
        <w:t xml:space="preserve">el 30 de </w:t>
      </w:r>
      <w:r w:rsidR="0036705A">
        <w:rPr>
          <w:rFonts w:ascii="Arial" w:hAnsi="Arial" w:cs="Arial"/>
          <w:sz w:val="21"/>
          <w:szCs w:val="21"/>
        </w:rPr>
        <w:t>junio</w:t>
      </w:r>
      <w:r w:rsidR="0036705A" w:rsidRPr="005D6BF0">
        <w:rPr>
          <w:rFonts w:ascii="Arial" w:hAnsi="Arial" w:cs="Arial"/>
          <w:sz w:val="21"/>
          <w:szCs w:val="21"/>
        </w:rPr>
        <w:t xml:space="preserve"> de 201</w:t>
      </w:r>
      <w:r w:rsidR="0036705A">
        <w:rPr>
          <w:rFonts w:ascii="Arial" w:hAnsi="Arial" w:cs="Arial"/>
          <w:sz w:val="21"/>
          <w:szCs w:val="21"/>
        </w:rPr>
        <w:t>4</w:t>
      </w:r>
      <w:r w:rsidR="0036705A" w:rsidRPr="005D6BF0">
        <w:rPr>
          <w:rFonts w:ascii="Arial" w:hAnsi="Arial" w:cs="Arial"/>
          <w:sz w:val="21"/>
          <w:szCs w:val="21"/>
        </w:rPr>
        <w:t>.</w:t>
      </w:r>
    </w:p>
    <w:p w:rsidR="0036705A" w:rsidRPr="004E7533" w:rsidRDefault="0036705A" w:rsidP="0036705A">
      <w:pPr>
        <w:pStyle w:val="Prrafodelista"/>
        <w:numPr>
          <w:ilvl w:val="0"/>
          <w:numId w:val="3"/>
        </w:numPr>
        <w:tabs>
          <w:tab w:val="left" w:pos="204"/>
        </w:tabs>
        <w:contextualSpacing/>
        <w:jc w:val="both"/>
        <w:rPr>
          <w:rFonts w:ascii="Arial" w:hAnsi="Arial" w:cs="Arial"/>
          <w:sz w:val="21"/>
          <w:szCs w:val="21"/>
        </w:rPr>
      </w:pPr>
      <w:r w:rsidRPr="00692300">
        <w:rPr>
          <w:rFonts w:ascii="Arial" w:hAnsi="Arial" w:cs="Arial"/>
          <w:sz w:val="21"/>
          <w:szCs w:val="21"/>
        </w:rPr>
        <w:t xml:space="preserve">Deberán ser otorgados en las condiciones ordinarias dependiendo del tipo de </w:t>
      </w:r>
      <w:r w:rsidRPr="004E7533">
        <w:rPr>
          <w:rFonts w:ascii="Arial" w:hAnsi="Arial" w:cs="Arial"/>
          <w:sz w:val="21"/>
          <w:szCs w:val="21"/>
        </w:rPr>
        <w:t>productor en el que clasifique el beneficiario previstas en el Plan Indicativo de Crédito vigente al momento de la normalización.</w:t>
      </w:r>
    </w:p>
    <w:p w:rsidR="0036705A" w:rsidRPr="004E7533" w:rsidRDefault="0036705A" w:rsidP="0036705A">
      <w:pPr>
        <w:pStyle w:val="Prrafodelista"/>
        <w:numPr>
          <w:ilvl w:val="0"/>
          <w:numId w:val="3"/>
        </w:numPr>
        <w:tabs>
          <w:tab w:val="left" w:pos="204"/>
        </w:tabs>
        <w:contextualSpacing/>
        <w:jc w:val="both"/>
        <w:rPr>
          <w:rFonts w:ascii="Arial" w:hAnsi="Arial" w:cs="Arial"/>
          <w:sz w:val="21"/>
          <w:szCs w:val="21"/>
        </w:rPr>
      </w:pPr>
      <w:r w:rsidRPr="004E7533">
        <w:rPr>
          <w:rFonts w:ascii="Arial" w:hAnsi="Arial" w:cs="Arial"/>
          <w:sz w:val="21"/>
          <w:szCs w:val="21"/>
        </w:rPr>
        <w:t xml:space="preserve">Se podrá realizar mediante el pago de pasivos financieros, considerado como un nuevo crédito en el que se pueden reunir los saldos a capital y los intereses corrientes causados pendientes de pago de las operaciones a normalizar, o a través de compra de cartera entre intermediarios financieros.  </w:t>
      </w:r>
    </w:p>
    <w:p w:rsidR="0036705A" w:rsidRPr="00692300" w:rsidRDefault="0036705A" w:rsidP="0036705A">
      <w:pPr>
        <w:pStyle w:val="Prrafodelista"/>
        <w:numPr>
          <w:ilvl w:val="0"/>
          <w:numId w:val="3"/>
        </w:numPr>
        <w:tabs>
          <w:tab w:val="left" w:pos="204"/>
        </w:tabs>
        <w:contextualSpacing/>
        <w:jc w:val="both"/>
        <w:rPr>
          <w:rFonts w:ascii="Arial" w:hAnsi="Arial" w:cs="Arial"/>
          <w:sz w:val="21"/>
          <w:szCs w:val="21"/>
        </w:rPr>
      </w:pPr>
      <w:r w:rsidRPr="004E7533">
        <w:rPr>
          <w:rFonts w:ascii="Arial" w:hAnsi="Arial" w:cs="Arial"/>
          <w:sz w:val="21"/>
          <w:szCs w:val="21"/>
        </w:rPr>
        <w:t>El  plazo de la normalización deberá estar acorde con el nuevo flujo de caja del beneficiario, en un período de tiempo</w:t>
      </w:r>
      <w:r w:rsidRPr="00692300">
        <w:rPr>
          <w:rFonts w:ascii="Arial" w:hAnsi="Arial" w:cs="Arial"/>
          <w:sz w:val="21"/>
          <w:szCs w:val="21"/>
        </w:rPr>
        <w:t xml:space="preserve"> que permita el pago de los pasivos normalizados.</w:t>
      </w:r>
    </w:p>
    <w:p w:rsidR="0036705A" w:rsidRPr="001E502A" w:rsidRDefault="0036705A" w:rsidP="0036705A">
      <w:pPr>
        <w:pStyle w:val="Prrafodelista"/>
        <w:numPr>
          <w:ilvl w:val="0"/>
          <w:numId w:val="4"/>
        </w:numPr>
        <w:tabs>
          <w:tab w:val="left" w:pos="204"/>
        </w:tabs>
        <w:contextualSpacing/>
        <w:jc w:val="both"/>
        <w:rPr>
          <w:rFonts w:ascii="Arial" w:hAnsi="Arial" w:cs="Arial"/>
          <w:sz w:val="21"/>
          <w:szCs w:val="21"/>
        </w:rPr>
      </w:pPr>
      <w:r w:rsidRPr="00692300">
        <w:rPr>
          <w:rFonts w:ascii="Arial" w:hAnsi="Arial" w:cs="Arial"/>
          <w:sz w:val="21"/>
          <w:szCs w:val="21"/>
        </w:rPr>
        <w:t xml:space="preserve">Dichas operaciones no contarán con garantía del Fondo Agropecuario de Garantías- FAG y tampoco se inscribirán para elegibilidad del Incentivo a la Capitalización Rural - </w:t>
      </w:r>
      <w:r w:rsidRPr="001E502A">
        <w:rPr>
          <w:rFonts w:ascii="Arial" w:hAnsi="Arial" w:cs="Arial"/>
          <w:sz w:val="21"/>
          <w:szCs w:val="21"/>
        </w:rPr>
        <w:t>ICR.</w:t>
      </w:r>
    </w:p>
    <w:p w:rsidR="0036705A" w:rsidRDefault="0036705A" w:rsidP="0036705A">
      <w:pPr>
        <w:pStyle w:val="Prrafodelista"/>
        <w:numPr>
          <w:ilvl w:val="0"/>
          <w:numId w:val="4"/>
        </w:numPr>
        <w:tabs>
          <w:tab w:val="left" w:pos="204"/>
        </w:tabs>
        <w:contextualSpacing/>
        <w:jc w:val="both"/>
        <w:rPr>
          <w:rFonts w:ascii="Arial" w:hAnsi="Arial" w:cs="Arial"/>
          <w:sz w:val="21"/>
          <w:szCs w:val="21"/>
        </w:rPr>
      </w:pPr>
      <w:r w:rsidRPr="0036705A">
        <w:rPr>
          <w:rFonts w:ascii="Arial" w:hAnsi="Arial" w:cs="Arial"/>
          <w:sz w:val="21"/>
          <w:szCs w:val="21"/>
        </w:rPr>
        <w:t>El valor total de las normalizaciones que se podrán tramitar al amparo de lo aquí previsto no excederá de quinientos mil millones de pesos ($500.000’000.000.oo), de lo cual se estará informando periódicamente.</w:t>
      </w:r>
    </w:p>
    <w:p w:rsidR="0036705A" w:rsidRPr="0036705A" w:rsidRDefault="0036705A" w:rsidP="0036705A">
      <w:pPr>
        <w:pStyle w:val="Prrafodelista"/>
        <w:tabs>
          <w:tab w:val="left" w:pos="204"/>
        </w:tabs>
        <w:ind w:left="720"/>
        <w:contextualSpacing/>
        <w:jc w:val="both"/>
        <w:rPr>
          <w:rFonts w:ascii="Arial" w:hAnsi="Arial" w:cs="Arial"/>
          <w:sz w:val="21"/>
          <w:szCs w:val="21"/>
        </w:rPr>
      </w:pPr>
    </w:p>
    <w:p w:rsidR="0036705A" w:rsidRPr="00692300" w:rsidRDefault="0036705A" w:rsidP="0036705A">
      <w:pPr>
        <w:pStyle w:val="Prrafodelista"/>
        <w:jc w:val="center"/>
        <w:rPr>
          <w:rFonts w:ascii="Arial" w:hAnsi="Arial" w:cs="Arial"/>
          <w:b/>
          <w:color w:val="808080"/>
          <w:sz w:val="21"/>
          <w:szCs w:val="21"/>
        </w:rPr>
      </w:pPr>
      <w:r w:rsidRPr="00692300">
        <w:rPr>
          <w:rFonts w:ascii="Arial" w:hAnsi="Arial" w:cs="Arial"/>
          <w:b/>
          <w:color w:val="808080"/>
          <w:sz w:val="21"/>
          <w:szCs w:val="21"/>
        </w:rPr>
        <w:t>Página 24</w:t>
      </w:r>
    </w:p>
    <w:p w:rsidR="000E356F" w:rsidRPr="000E356F" w:rsidRDefault="0036705A" w:rsidP="0036705A">
      <w:pPr>
        <w:pStyle w:val="Prrafodelista"/>
        <w:jc w:val="center"/>
        <w:rPr>
          <w:rFonts w:ascii="Arial" w:hAnsi="Arial" w:cs="Arial"/>
          <w:sz w:val="20"/>
          <w:szCs w:val="20"/>
        </w:rPr>
      </w:pPr>
      <w:r w:rsidRPr="00692300">
        <w:rPr>
          <w:rFonts w:ascii="Arial" w:hAnsi="Arial" w:cs="Arial"/>
          <w:b/>
          <w:color w:val="808080"/>
          <w:sz w:val="21"/>
          <w:szCs w:val="21"/>
        </w:rPr>
        <w:t>CAP I/P</w:t>
      </w:r>
      <w:r>
        <w:rPr>
          <w:rFonts w:ascii="Arial" w:hAnsi="Arial" w:cs="Arial"/>
          <w:b/>
          <w:color w:val="808080"/>
          <w:sz w:val="21"/>
          <w:szCs w:val="21"/>
        </w:rPr>
        <w:t>-2</w:t>
      </w:r>
      <w:r w:rsidRPr="00692300">
        <w:rPr>
          <w:rFonts w:ascii="Arial" w:hAnsi="Arial" w:cs="Arial"/>
          <w:b/>
          <w:color w:val="808080"/>
          <w:sz w:val="21"/>
          <w:szCs w:val="21"/>
        </w:rPr>
        <w:t>/1</w:t>
      </w:r>
      <w:r>
        <w:rPr>
          <w:rFonts w:ascii="Arial" w:hAnsi="Arial" w:cs="Arial"/>
          <w:b/>
          <w:color w:val="808080"/>
          <w:sz w:val="21"/>
          <w:szCs w:val="21"/>
        </w:rPr>
        <w:t>4</w:t>
      </w:r>
    </w:p>
    <w:sectPr w:rsidR="000E356F" w:rsidRPr="000E356F" w:rsidSect="00DD57D0">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BE1" w:rsidRDefault="00363BE1" w:rsidP="004D1596">
      <w:r>
        <w:separator/>
      </w:r>
    </w:p>
  </w:endnote>
  <w:endnote w:type="continuationSeparator" w:id="0">
    <w:p w:rsidR="00363BE1" w:rsidRDefault="00363BE1" w:rsidP="004D1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BE1" w:rsidRDefault="00363BE1" w:rsidP="004D1596">
      <w:r>
        <w:separator/>
      </w:r>
    </w:p>
  </w:footnote>
  <w:footnote w:type="continuationSeparator" w:id="0">
    <w:p w:rsidR="00363BE1" w:rsidRDefault="00363BE1"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DD2DAC">
          <w:pPr>
            <w:pStyle w:val="Ttulo1"/>
            <w:jc w:val="center"/>
            <w:rPr>
              <w:sz w:val="16"/>
              <w:szCs w:val="16"/>
            </w:rPr>
          </w:pPr>
          <w:r w:rsidRPr="00D12890">
            <w:rPr>
              <w:sz w:val="16"/>
              <w:szCs w:val="16"/>
            </w:rPr>
            <w:t>Versión:</w:t>
          </w:r>
          <w:r>
            <w:rPr>
              <w:sz w:val="16"/>
              <w:szCs w:val="16"/>
            </w:rPr>
            <w:t xml:space="preserve"> </w:t>
          </w:r>
          <w:r w:rsidR="00DD2DAC">
            <w:rPr>
              <w:sz w:val="16"/>
              <w:szCs w:val="16"/>
            </w:rPr>
            <w:t>25</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EB57E5"/>
    <w:multiLevelType w:val="hybridMultilevel"/>
    <w:tmpl w:val="1EC8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9673A"/>
    <w:multiLevelType w:val="hybridMultilevel"/>
    <w:tmpl w:val="4EAA4836"/>
    <w:lvl w:ilvl="0" w:tplc="116A72DA">
      <w:start w:val="1"/>
      <w:numFmt w:val="bullet"/>
      <w:lvlText w:val=""/>
      <w:lvlJc w:val="left"/>
      <w:pPr>
        <w:tabs>
          <w:tab w:val="num" w:pos="510"/>
        </w:tabs>
        <w:ind w:left="454" w:hanging="45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2B416F9"/>
    <w:multiLevelType w:val="hybridMultilevel"/>
    <w:tmpl w:val="52E463F2"/>
    <w:lvl w:ilvl="0" w:tplc="2BC6BD76">
      <w:start w:val="1"/>
      <w:numFmt w:val="bullet"/>
      <w:lvlText w:val=""/>
      <w:lvlJc w:val="left"/>
      <w:pPr>
        <w:tabs>
          <w:tab w:val="num" w:pos="473"/>
        </w:tabs>
        <w:ind w:left="454" w:hanging="34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2549BF"/>
    <w:multiLevelType w:val="hybridMultilevel"/>
    <w:tmpl w:val="AF1E8A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B00AFB"/>
    <w:multiLevelType w:val="hybridMultilevel"/>
    <w:tmpl w:val="DEA4E6CE"/>
    <w:lvl w:ilvl="0" w:tplc="116A72DA">
      <w:start w:val="1"/>
      <w:numFmt w:val="bullet"/>
      <w:lvlText w:val=""/>
      <w:lvlJc w:val="left"/>
      <w:pPr>
        <w:tabs>
          <w:tab w:val="num" w:pos="510"/>
        </w:tabs>
        <w:ind w:left="454" w:hanging="45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1"/>
  </w:num>
  <w:num w:numId="6">
    <w:abstractNumId w:val="5"/>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154DB"/>
    <w:rsid w:val="000C4E8D"/>
    <w:rsid w:val="000E356F"/>
    <w:rsid w:val="001B38F0"/>
    <w:rsid w:val="002B3720"/>
    <w:rsid w:val="00363BE1"/>
    <w:rsid w:val="0036705A"/>
    <w:rsid w:val="00465A4A"/>
    <w:rsid w:val="00486D84"/>
    <w:rsid w:val="004B45B5"/>
    <w:rsid w:val="004C6BB0"/>
    <w:rsid w:val="004D1596"/>
    <w:rsid w:val="004E7838"/>
    <w:rsid w:val="00531132"/>
    <w:rsid w:val="00531EDD"/>
    <w:rsid w:val="005D17F5"/>
    <w:rsid w:val="006F6ECA"/>
    <w:rsid w:val="00720585"/>
    <w:rsid w:val="007313D7"/>
    <w:rsid w:val="00735D26"/>
    <w:rsid w:val="008576AE"/>
    <w:rsid w:val="00877BB2"/>
    <w:rsid w:val="008D4BE0"/>
    <w:rsid w:val="009407A1"/>
    <w:rsid w:val="00950338"/>
    <w:rsid w:val="00964F43"/>
    <w:rsid w:val="00980521"/>
    <w:rsid w:val="009A562D"/>
    <w:rsid w:val="009C0FBE"/>
    <w:rsid w:val="00AD2053"/>
    <w:rsid w:val="00C2456F"/>
    <w:rsid w:val="00CE2814"/>
    <w:rsid w:val="00D47C8B"/>
    <w:rsid w:val="00D907F8"/>
    <w:rsid w:val="00D947F4"/>
    <w:rsid w:val="00DD2DAC"/>
    <w:rsid w:val="00DD57D0"/>
    <w:rsid w:val="00F64DD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46"/>
        <o:r id="V:Rule5" type="connector" idref="#_x0000_s1049"/>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B3720"/>
    <w:pPr>
      <w:ind w:left="708"/>
    </w:pPr>
  </w:style>
  <w:style w:type="character" w:styleId="Hipervnculo">
    <w:name w:val="Hyperlink"/>
    <w:rsid w:val="00AD2053"/>
    <w:rPr>
      <w:color w:val="0000FF"/>
      <w:u w:val="single"/>
    </w:rPr>
  </w:style>
  <w:style w:type="paragraph" w:styleId="Textodeglobo">
    <w:name w:val="Balloon Text"/>
    <w:basedOn w:val="Normal"/>
    <w:link w:val="TextodegloboCar"/>
    <w:uiPriority w:val="99"/>
    <w:semiHidden/>
    <w:unhideWhenUsed/>
    <w:rsid w:val="005D17F5"/>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7F5"/>
    <w:rPr>
      <w:rFonts w:ascii="Tahoma" w:eastAsia="Times New Roman" w:hAnsi="Tahoma" w:cs="Tahoma"/>
      <w:sz w:val="16"/>
      <w:szCs w:val="16"/>
      <w:lang w:val="es-ES" w:eastAsia="es-ES"/>
    </w:rPr>
  </w:style>
  <w:style w:type="paragraph" w:customStyle="1" w:styleId="p2">
    <w:name w:val="p2"/>
    <w:basedOn w:val="Normal"/>
    <w:rsid w:val="0036705A"/>
    <w:pPr>
      <w:widowControl w:val="0"/>
      <w:tabs>
        <w:tab w:val="left" w:pos="170"/>
      </w:tabs>
      <w:autoSpaceDE w:val="0"/>
      <w:autoSpaceDN w:val="0"/>
      <w:adjustRightInd w:val="0"/>
      <w:spacing w:line="240" w:lineRule="atLeast"/>
      <w:ind w:left="754"/>
      <w:jc w:val="both"/>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8B21-FD69-4132-B5EF-8927389B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829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4</cp:revision>
  <cp:lastPrinted>2014-01-07T16:52:00Z</cp:lastPrinted>
  <dcterms:created xsi:type="dcterms:W3CDTF">2014-01-07T15:31:00Z</dcterms:created>
  <dcterms:modified xsi:type="dcterms:W3CDTF">2014-01-08T12:56:00Z</dcterms:modified>
</cp:coreProperties>
</file>