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29" w:rsidRPr="005A0A10" w:rsidRDefault="008B2F29" w:rsidP="008B2F29">
      <w:pPr>
        <w:pStyle w:val="Ttulo3"/>
        <w:shd w:val="clear" w:color="auto" w:fill="FFFFFF"/>
        <w:spacing w:before="228" w:after="0"/>
        <w:jc w:val="both"/>
        <w:rPr>
          <w:bCs w:val="0"/>
          <w:sz w:val="24"/>
          <w:szCs w:val="24"/>
        </w:rPr>
      </w:pPr>
      <w:bookmarkStart w:id="0" w:name="_Toc188180249"/>
      <w:bookmarkStart w:id="1" w:name="_Toc188235804"/>
      <w:bookmarkStart w:id="2" w:name="_Toc188260492"/>
      <w:r>
        <w:rPr>
          <w:bCs w:val="0"/>
          <w:sz w:val="24"/>
          <w:szCs w:val="24"/>
        </w:rPr>
        <w:t xml:space="preserve">1.1.6 </w:t>
      </w:r>
      <w:r w:rsidRPr="005A0A10">
        <w:rPr>
          <w:bCs w:val="0"/>
          <w:sz w:val="24"/>
          <w:szCs w:val="24"/>
        </w:rPr>
        <w:t>ANTIGÜEDAD DEL GASTO</w:t>
      </w:r>
      <w:bookmarkEnd w:id="0"/>
      <w:bookmarkEnd w:id="1"/>
      <w:bookmarkEnd w:id="2"/>
      <w:r w:rsidRPr="005A0A10">
        <w:rPr>
          <w:bCs w:val="0"/>
          <w:sz w:val="24"/>
          <w:szCs w:val="24"/>
        </w:rPr>
        <w:t xml:space="preserve"> Y PLAZO PARA EJECUTAR LAS INVERSIONES</w:t>
      </w:r>
    </w:p>
    <w:p w:rsidR="008B2F29" w:rsidRPr="00E41F77" w:rsidRDefault="008B2F29" w:rsidP="008B2F29">
      <w:pPr>
        <w:shd w:val="clear" w:color="auto" w:fill="FFFFFF"/>
        <w:spacing w:before="234" w:line="246" w:lineRule="exact"/>
        <w:ind w:left="12" w:right="102"/>
        <w:jc w:val="both"/>
        <w:rPr>
          <w:rFonts w:ascii="Arial" w:hAnsi="Arial" w:cs="Arial"/>
        </w:rPr>
      </w:pPr>
      <w:r w:rsidRPr="00E41F77">
        <w:rPr>
          <w:rFonts w:ascii="Arial" w:hAnsi="Arial" w:cs="Arial"/>
          <w:color w:val="000000"/>
          <w:spacing w:val="-4"/>
          <w:lang w:val="es-ES_tradnl"/>
        </w:rPr>
        <w:t xml:space="preserve">Se aceptarán gastos con una antigüedad no mayor a 180 días calendario, contados a partir de la </w:t>
      </w:r>
      <w:r w:rsidRPr="00E41F77">
        <w:rPr>
          <w:rFonts w:ascii="Arial" w:hAnsi="Arial" w:cs="Arial"/>
          <w:color w:val="000000"/>
          <w:lang w:val="es-ES_tradnl"/>
        </w:rPr>
        <w:t xml:space="preserve">fecha de redescuento para proyectos financiados con créditos </w:t>
      </w:r>
      <w:proofErr w:type="spellStart"/>
      <w:r w:rsidRPr="00E41F77">
        <w:rPr>
          <w:rFonts w:ascii="Arial" w:hAnsi="Arial" w:cs="Arial"/>
          <w:color w:val="000000"/>
          <w:lang w:val="es-ES_tradnl"/>
        </w:rPr>
        <w:t>redescontados</w:t>
      </w:r>
      <w:proofErr w:type="spellEnd"/>
      <w:r w:rsidRPr="00E41F77">
        <w:rPr>
          <w:rFonts w:ascii="Arial" w:hAnsi="Arial" w:cs="Arial"/>
          <w:color w:val="000000"/>
          <w:lang w:val="es-ES_tradnl"/>
        </w:rPr>
        <w:t xml:space="preserve"> y, a partir de la </w:t>
      </w:r>
      <w:r w:rsidRPr="00E41F77">
        <w:rPr>
          <w:rFonts w:ascii="Arial" w:hAnsi="Arial" w:cs="Arial"/>
          <w:color w:val="000000"/>
          <w:spacing w:val="-2"/>
          <w:lang w:val="es-ES_tradnl"/>
        </w:rPr>
        <w:t>fecha de desembolso para los créditos sustitutivos o de cartera agropecuaria, exceptuándose los siguientes casos:</w:t>
      </w:r>
    </w:p>
    <w:p w:rsidR="008B2F29" w:rsidRPr="00E41F77" w:rsidRDefault="008B2F29" w:rsidP="008B2F29">
      <w:pPr>
        <w:numPr>
          <w:ilvl w:val="0"/>
          <w:numId w:val="9"/>
        </w:numPr>
        <w:shd w:val="clear" w:color="auto" w:fill="FFFFFF"/>
        <w:spacing w:before="258" w:line="246" w:lineRule="exact"/>
        <w:ind w:right="108"/>
        <w:jc w:val="both"/>
        <w:rPr>
          <w:rFonts w:ascii="Arial" w:hAnsi="Arial" w:cs="Arial"/>
        </w:rPr>
      </w:pPr>
      <w:r w:rsidRPr="00E41F77">
        <w:rPr>
          <w:rFonts w:ascii="Arial" w:hAnsi="Arial" w:cs="Arial"/>
          <w:color w:val="000000"/>
          <w:spacing w:val="-2"/>
          <w:lang w:val="es-ES_tradnl"/>
        </w:rPr>
        <w:t xml:space="preserve">En créditos de capital de trabajo para producción agrícola, código 10, cuadro No. 1.2, </w:t>
      </w:r>
      <w:r w:rsidRPr="00E41F77">
        <w:rPr>
          <w:rFonts w:ascii="Arial" w:hAnsi="Arial" w:cs="Arial"/>
          <w:color w:val="000000"/>
          <w:spacing w:val="2"/>
          <w:lang w:val="es-ES_tradnl"/>
        </w:rPr>
        <w:t xml:space="preserve">la antigüedad del gasto máxima será de 60 días calendario contados a partir de la </w:t>
      </w:r>
      <w:r w:rsidRPr="00E41F77">
        <w:rPr>
          <w:rFonts w:ascii="Arial" w:hAnsi="Arial" w:cs="Arial"/>
          <w:color w:val="000000"/>
          <w:spacing w:val="-3"/>
          <w:lang w:val="es-ES_tradnl"/>
        </w:rPr>
        <w:t>fecha promedio de siembra estimada para el área objeto de financiación.</w:t>
      </w:r>
    </w:p>
    <w:p w:rsidR="008B2F29" w:rsidRPr="00E41F77" w:rsidRDefault="008B2F29" w:rsidP="008B2F29">
      <w:pPr>
        <w:numPr>
          <w:ilvl w:val="0"/>
          <w:numId w:val="9"/>
        </w:numPr>
        <w:shd w:val="clear" w:color="auto" w:fill="FFFFFF"/>
        <w:spacing w:before="264" w:line="246" w:lineRule="exact"/>
        <w:ind w:right="114"/>
        <w:jc w:val="both"/>
        <w:rPr>
          <w:rFonts w:ascii="Arial" w:hAnsi="Arial" w:cs="Arial"/>
          <w:color w:val="000000"/>
          <w:spacing w:val="-4"/>
          <w:lang w:val="es-ES_tradnl"/>
        </w:rPr>
      </w:pPr>
      <w:r w:rsidRPr="00E41F77">
        <w:rPr>
          <w:rFonts w:ascii="Arial" w:hAnsi="Arial" w:cs="Arial"/>
          <w:color w:val="000000"/>
          <w:spacing w:val="1"/>
          <w:lang w:val="es-ES_tradnl"/>
        </w:rPr>
        <w:t xml:space="preserve">En proyectos de establecimiento de cultivos de mediano o tardío rendimiento, que </w:t>
      </w:r>
      <w:r w:rsidRPr="00E41F77">
        <w:rPr>
          <w:rFonts w:ascii="Arial" w:hAnsi="Arial" w:cs="Arial"/>
          <w:color w:val="000000"/>
          <w:spacing w:val="-2"/>
          <w:lang w:val="es-ES_tradnl"/>
        </w:rPr>
        <w:t xml:space="preserve">contemplen su ejecución desde la etapa de </w:t>
      </w:r>
      <w:proofErr w:type="spellStart"/>
      <w:r w:rsidRPr="00E41F77">
        <w:rPr>
          <w:rFonts w:ascii="Arial" w:hAnsi="Arial" w:cs="Arial"/>
          <w:color w:val="000000"/>
          <w:spacing w:val="-2"/>
          <w:lang w:val="es-ES_tradnl"/>
        </w:rPr>
        <w:t>previvero</w:t>
      </w:r>
      <w:proofErr w:type="spellEnd"/>
      <w:r w:rsidRPr="00E41F77">
        <w:rPr>
          <w:rFonts w:ascii="Arial" w:hAnsi="Arial" w:cs="Arial"/>
          <w:color w:val="000000"/>
          <w:spacing w:val="-2"/>
          <w:lang w:val="es-ES_tradnl"/>
        </w:rPr>
        <w:t xml:space="preserve"> y vivero, en forma adicional a la </w:t>
      </w:r>
      <w:r w:rsidRPr="00E41F77">
        <w:rPr>
          <w:rFonts w:ascii="Arial" w:hAnsi="Arial" w:cs="Arial"/>
          <w:color w:val="000000"/>
          <w:spacing w:val="2"/>
          <w:lang w:val="es-ES_tradnl"/>
        </w:rPr>
        <w:t xml:space="preserve">antigüedad general, se tendrá en cuenta el periodo de ejecución de estas etapas </w:t>
      </w:r>
      <w:r w:rsidRPr="00E41F77">
        <w:rPr>
          <w:rFonts w:ascii="Arial" w:hAnsi="Arial" w:cs="Arial"/>
          <w:color w:val="000000"/>
          <w:spacing w:val="-4"/>
          <w:lang w:val="es-ES_tradnl"/>
        </w:rPr>
        <w:t>estimado en máximo un (1) año.</w:t>
      </w:r>
    </w:p>
    <w:p w:rsidR="008B2F29" w:rsidRDefault="008B2F29" w:rsidP="008B2F29">
      <w:pPr>
        <w:shd w:val="clear" w:color="auto" w:fill="FFFFFF"/>
        <w:spacing w:before="264" w:line="246" w:lineRule="exact"/>
        <w:ind w:left="12" w:right="114"/>
        <w:jc w:val="both"/>
        <w:rPr>
          <w:rFonts w:ascii="Arial" w:hAnsi="Arial" w:cs="Arial"/>
          <w:spacing w:val="-4"/>
          <w:lang w:val="es-ES_tradnl"/>
        </w:rPr>
      </w:pPr>
      <w:r w:rsidRPr="00E41F77">
        <w:rPr>
          <w:rFonts w:ascii="Arial" w:hAnsi="Arial" w:cs="Arial"/>
          <w:color w:val="000000"/>
          <w:spacing w:val="-4"/>
          <w:lang w:val="es-ES_tradnl"/>
        </w:rPr>
        <w:t xml:space="preserve">Las inversiones financiadas con los créditos con recursos de redescuento, cartera sustitutiva o cartera agropecuaria, tendrán un plazo máximo para su ejecución de ciento ochenta (180) días </w:t>
      </w:r>
      <w:proofErr w:type="gramStart"/>
      <w:r w:rsidRPr="00E41F77">
        <w:rPr>
          <w:rFonts w:ascii="Arial" w:hAnsi="Arial" w:cs="Arial"/>
          <w:color w:val="000000"/>
          <w:spacing w:val="-4"/>
          <w:lang w:val="es-ES_tradnl"/>
        </w:rPr>
        <w:t>calendario siguientes</w:t>
      </w:r>
      <w:proofErr w:type="gramEnd"/>
      <w:r w:rsidRPr="00E41F77">
        <w:rPr>
          <w:rFonts w:ascii="Arial" w:hAnsi="Arial" w:cs="Arial"/>
          <w:color w:val="000000"/>
          <w:spacing w:val="-4"/>
          <w:lang w:val="es-ES_tradnl"/>
        </w:rPr>
        <w:t xml:space="preserve"> a la fecha de redescuento o de desembolso del crédito respectivo. Para proyectos que requieran de un plazo mayor para ejecutar las inversiones, se deberá registrar en el formato de Solicitud de Crédito Agropecuario y Rural el plazo requerido, el cual en ningún caso podrá ser mayor a 360 días </w:t>
      </w:r>
      <w:proofErr w:type="gramStart"/>
      <w:r w:rsidRPr="00E41F77">
        <w:rPr>
          <w:rFonts w:ascii="Arial" w:hAnsi="Arial" w:cs="Arial"/>
          <w:color w:val="000000"/>
          <w:spacing w:val="-4"/>
          <w:lang w:val="es-ES_tradnl"/>
        </w:rPr>
        <w:t>calendario siguientes</w:t>
      </w:r>
      <w:proofErr w:type="gramEnd"/>
      <w:r w:rsidRPr="00E41F77">
        <w:rPr>
          <w:rFonts w:ascii="Arial" w:hAnsi="Arial" w:cs="Arial"/>
          <w:color w:val="000000"/>
          <w:spacing w:val="-4"/>
          <w:lang w:val="es-ES_tradnl"/>
        </w:rPr>
        <w:t xml:space="preserve"> a la fecha de redescuento o de desembolso del crédito. </w:t>
      </w:r>
      <w:r w:rsidRPr="00E41F77">
        <w:rPr>
          <w:rFonts w:ascii="Arial" w:hAnsi="Arial" w:cs="Arial"/>
          <w:spacing w:val="-4"/>
          <w:lang w:val="es-ES_tradnl"/>
        </w:rPr>
        <w:t xml:space="preserve">Los proyectos para siembra de cultivos de ciclo corto contemplados en la línea de Producción Agrícola (código 10) cuadro No. 1.2, el plazo para realizar la siembra del área financiada será de hasta noventa (90) días calendario siguientes a la fecha de redescuento o de desembolso del crédito. </w:t>
      </w:r>
    </w:p>
    <w:p w:rsidR="008B2F29" w:rsidRPr="00F72F5A" w:rsidRDefault="008B2F29" w:rsidP="008B2F29">
      <w:pPr>
        <w:shd w:val="clear" w:color="auto" w:fill="FFFFFF"/>
        <w:spacing w:before="264" w:line="246" w:lineRule="exact"/>
        <w:ind w:left="12" w:right="114"/>
        <w:jc w:val="both"/>
        <w:rPr>
          <w:rFonts w:ascii="Arial" w:hAnsi="Arial" w:cs="Arial"/>
          <w:spacing w:val="-4"/>
          <w:lang w:val="es-ES_tradnl"/>
        </w:rPr>
      </w:pPr>
      <w:r w:rsidRPr="00F72F5A">
        <w:rPr>
          <w:rFonts w:ascii="Arial" w:hAnsi="Arial" w:cs="Arial"/>
          <w:spacing w:val="-4"/>
          <w:lang w:val="es-ES_tradnl"/>
        </w:rPr>
        <w:t>Para créditos que se sean aprobados para realizar su entrega por desembolsos, el plazo para realizar las inversiones programadas con cada desembolso será de hasta 180 días.</w:t>
      </w:r>
    </w:p>
    <w:p w:rsidR="008B2F29" w:rsidRDefault="008B2F29" w:rsidP="008B2F29">
      <w:pPr>
        <w:shd w:val="clear" w:color="auto" w:fill="FFFFFF"/>
        <w:spacing w:before="264" w:line="246" w:lineRule="exact"/>
        <w:ind w:left="12" w:right="114"/>
        <w:jc w:val="both"/>
        <w:rPr>
          <w:rFonts w:ascii="Arial" w:hAnsi="Arial" w:cs="Arial"/>
          <w:color w:val="FF0000"/>
          <w:spacing w:val="-4"/>
          <w:lang w:val="es-ES_tradnl"/>
        </w:rPr>
      </w:pPr>
    </w:p>
    <w:p w:rsidR="008B2F29" w:rsidRPr="00E41F77" w:rsidRDefault="008B2F29" w:rsidP="008B2F29">
      <w:pPr>
        <w:shd w:val="clear" w:color="auto" w:fill="FFFFFF"/>
        <w:spacing w:before="264" w:line="246" w:lineRule="exact"/>
        <w:ind w:left="12" w:right="114"/>
        <w:jc w:val="both"/>
        <w:rPr>
          <w:rFonts w:ascii="Arial" w:hAnsi="Arial" w:cs="Arial"/>
          <w:color w:val="FF0000"/>
          <w:spacing w:val="-4"/>
          <w:lang w:val="es-ES_tradnl"/>
        </w:rPr>
      </w:pPr>
    </w:p>
    <w:p w:rsidR="008B2F29" w:rsidRDefault="008B2F29" w:rsidP="008B2F29">
      <w:pPr>
        <w:shd w:val="clear" w:color="auto" w:fill="FFFFFF"/>
        <w:spacing w:before="264" w:line="246" w:lineRule="exact"/>
        <w:ind w:right="114"/>
        <w:jc w:val="both"/>
        <w:rPr>
          <w:rFonts w:ascii="Arial" w:hAnsi="Arial" w:cs="Arial"/>
          <w:color w:val="000000"/>
          <w:spacing w:val="-4"/>
          <w:lang w:val="es-ES_tradnl"/>
        </w:rPr>
      </w:pPr>
    </w:p>
    <w:p w:rsidR="008B2F29" w:rsidRDefault="008B2F29" w:rsidP="008B2F29">
      <w:pPr>
        <w:shd w:val="clear" w:color="auto" w:fill="FFFFFF"/>
        <w:spacing w:before="264" w:line="246" w:lineRule="exact"/>
        <w:ind w:right="114"/>
        <w:jc w:val="both"/>
        <w:rPr>
          <w:rFonts w:ascii="Arial" w:hAnsi="Arial" w:cs="Arial"/>
          <w:color w:val="000000"/>
          <w:spacing w:val="-4"/>
          <w:lang w:val="es-ES_tradnl"/>
        </w:rPr>
      </w:pPr>
    </w:p>
    <w:p w:rsidR="005F7F96" w:rsidRDefault="005F7F96" w:rsidP="005F7F96">
      <w:pPr>
        <w:jc w:val="center"/>
        <w:rPr>
          <w:rFonts w:ascii="Arial" w:hAnsi="Arial" w:cs="Arial"/>
          <w:b/>
          <w:color w:val="808080"/>
        </w:rPr>
      </w:pPr>
      <w:r w:rsidRPr="008A5BF3">
        <w:rPr>
          <w:rFonts w:ascii="Arial" w:hAnsi="Arial" w:cs="Arial"/>
          <w:b/>
          <w:color w:val="808080"/>
        </w:rPr>
        <w:t xml:space="preserve">Página </w:t>
      </w:r>
      <w:r>
        <w:rPr>
          <w:rFonts w:ascii="Arial" w:hAnsi="Arial" w:cs="Arial"/>
          <w:b/>
          <w:color w:val="808080"/>
        </w:rPr>
        <w:t>13</w:t>
      </w:r>
    </w:p>
    <w:p w:rsidR="008B2F29" w:rsidRDefault="008B2F29" w:rsidP="005F7F96">
      <w:pPr>
        <w:shd w:val="clear" w:color="auto" w:fill="FFFFFF"/>
        <w:spacing w:before="264" w:line="246" w:lineRule="exact"/>
        <w:ind w:right="114"/>
        <w:jc w:val="center"/>
        <w:rPr>
          <w:rFonts w:ascii="Arial" w:hAnsi="Arial" w:cs="Arial"/>
          <w:color w:val="000000"/>
          <w:spacing w:val="-4"/>
          <w:lang w:val="es-ES_tradnl"/>
        </w:rPr>
      </w:pPr>
    </w:p>
    <w:p w:rsidR="008B2F29" w:rsidRPr="005F7F96" w:rsidRDefault="008B2F29" w:rsidP="005F7F96">
      <w:pPr>
        <w:shd w:val="clear" w:color="auto" w:fill="FFFFFF"/>
        <w:spacing w:before="264" w:line="246" w:lineRule="exact"/>
        <w:ind w:right="114"/>
        <w:jc w:val="center"/>
        <w:rPr>
          <w:rFonts w:ascii="Arial" w:hAnsi="Arial" w:cs="Arial"/>
          <w:color w:val="000000"/>
          <w:spacing w:val="-4"/>
        </w:rPr>
      </w:pPr>
    </w:p>
    <w:p w:rsidR="008B2F29" w:rsidRDefault="008B2F29" w:rsidP="008B2F29">
      <w:pPr>
        <w:shd w:val="clear" w:color="auto" w:fill="FFFFFF"/>
        <w:spacing w:before="264" w:line="246" w:lineRule="exact"/>
        <w:ind w:right="114"/>
        <w:jc w:val="both"/>
        <w:rPr>
          <w:rFonts w:ascii="Arial" w:hAnsi="Arial" w:cs="Arial"/>
          <w:color w:val="000000"/>
          <w:spacing w:val="-4"/>
          <w:lang w:val="es-ES_tradnl"/>
        </w:rPr>
      </w:pPr>
      <w:r w:rsidRPr="00E41F77">
        <w:rPr>
          <w:rFonts w:ascii="Arial" w:hAnsi="Arial" w:cs="Arial"/>
          <w:color w:val="000000"/>
          <w:spacing w:val="-4"/>
          <w:lang w:val="es-ES_tradnl"/>
        </w:rPr>
        <w:lastRenderedPageBreak/>
        <w:t xml:space="preserve">Si durante el plazo definido para ejecutar las inversiones financiadas ocurren situaciones de fuerza mayor o caso fortuito, debidamente comprobadas ante el intermediario financiero, que impidan su realización en los plazos máximos anteriormente definidos, </w:t>
      </w:r>
      <w:r w:rsidRPr="00E41F77">
        <w:rPr>
          <w:rFonts w:ascii="Arial" w:hAnsi="Arial" w:cs="Arial"/>
          <w:spacing w:val="-4"/>
          <w:lang w:val="es-ES_tradnl"/>
        </w:rPr>
        <w:t>los intermediarios financieros podrán ampliarlos por una sola vez y hasta por noventa (90) días calendario, siempre y cuando</w:t>
      </w:r>
      <w:r w:rsidRPr="00E41F77">
        <w:rPr>
          <w:rFonts w:ascii="Arial" w:hAnsi="Arial" w:cs="Arial"/>
          <w:color w:val="000000"/>
          <w:spacing w:val="-4"/>
          <w:lang w:val="es-ES_tradnl"/>
        </w:rPr>
        <w:t xml:space="preserve"> informen a</w:t>
      </w:r>
      <w:r>
        <w:rPr>
          <w:rFonts w:ascii="Arial" w:hAnsi="Arial" w:cs="Arial"/>
          <w:color w:val="000000"/>
          <w:spacing w:val="-4"/>
          <w:lang w:val="es-ES_tradnl"/>
        </w:rPr>
        <w:t xml:space="preserve"> la Dirección de Crédito</w:t>
      </w:r>
      <w:r w:rsidRPr="00E41F77">
        <w:rPr>
          <w:rFonts w:ascii="Arial" w:hAnsi="Arial" w:cs="Arial"/>
          <w:color w:val="000000"/>
          <w:spacing w:val="-4"/>
          <w:lang w:val="es-ES_tradnl"/>
        </w:rPr>
        <w:t xml:space="preserve"> </w:t>
      </w:r>
      <w:r>
        <w:rPr>
          <w:rFonts w:ascii="Arial" w:hAnsi="Arial" w:cs="Arial"/>
          <w:color w:val="000000"/>
          <w:spacing w:val="-4"/>
          <w:lang w:val="es-ES_tradnl"/>
        </w:rPr>
        <w:t xml:space="preserve">de FINAGRO </w:t>
      </w:r>
      <w:r w:rsidRPr="00E41F77">
        <w:rPr>
          <w:rFonts w:ascii="Arial" w:hAnsi="Arial" w:cs="Arial"/>
          <w:color w:val="000000"/>
          <w:spacing w:val="-4"/>
          <w:lang w:val="es-ES_tradnl"/>
        </w:rPr>
        <w:t xml:space="preserve">dentro de los citados 180 días calendario, para que quede registrada la ampliación. </w:t>
      </w:r>
    </w:p>
    <w:p w:rsidR="008B2F29" w:rsidRPr="00E41F77" w:rsidRDefault="008B2F29" w:rsidP="008B2F29">
      <w:pPr>
        <w:shd w:val="clear" w:color="auto" w:fill="FFFFFF"/>
        <w:spacing w:before="264" w:line="246" w:lineRule="exact"/>
        <w:ind w:right="114"/>
        <w:jc w:val="both"/>
        <w:rPr>
          <w:rFonts w:ascii="Arial" w:hAnsi="Arial" w:cs="Arial"/>
          <w:color w:val="000000"/>
          <w:spacing w:val="-4"/>
          <w:lang w:val="es-ES_tradnl"/>
        </w:rPr>
      </w:pPr>
      <w:r>
        <w:rPr>
          <w:rFonts w:ascii="Arial" w:hAnsi="Arial" w:cs="Arial"/>
          <w:color w:val="000000"/>
          <w:spacing w:val="-4"/>
          <w:lang w:val="es-ES_tradnl"/>
        </w:rPr>
        <w:t xml:space="preserve">Adicionalmente en caso de no poder efectuar las inversiones enmarcadas dentro del proyecto objeto de la inversión, el intermediario deberá, dentro de los plazos establecidos, poner a </w:t>
      </w:r>
      <w:smartTag w:uri="urn:schemas-microsoft-com:office:smarttags" w:element="PersonName">
        <w:r>
          <w:rPr>
            <w:rFonts w:ascii="Arial" w:hAnsi="Arial" w:cs="Arial"/>
            <w:color w:val="000000"/>
            <w:spacing w:val="-4"/>
            <w:lang w:val="es-ES_tradnl"/>
          </w:rPr>
          <w:t>co</w:t>
        </w:r>
      </w:smartTag>
      <w:r>
        <w:rPr>
          <w:rFonts w:ascii="Arial" w:hAnsi="Arial" w:cs="Arial"/>
          <w:color w:val="000000"/>
          <w:spacing w:val="-4"/>
          <w:lang w:val="es-ES_tradnl"/>
        </w:rPr>
        <w:t xml:space="preserve">nsideración de </w:t>
      </w:r>
      <w:smartTag w:uri="urn:schemas-microsoft-com:office:smarttags" w:element="PersonName">
        <w:smartTagPr>
          <w:attr w:name="ProductID" w:val="la Direcci￳n"/>
        </w:smartTagPr>
        <w:r>
          <w:rPr>
            <w:rFonts w:ascii="Arial" w:hAnsi="Arial" w:cs="Arial"/>
            <w:color w:val="000000"/>
            <w:spacing w:val="-4"/>
            <w:lang w:val="es-ES_tradnl"/>
          </w:rPr>
          <w:t>la Dirección</w:t>
        </w:r>
      </w:smartTag>
      <w:r>
        <w:rPr>
          <w:rFonts w:ascii="Arial" w:hAnsi="Arial" w:cs="Arial"/>
          <w:color w:val="000000"/>
          <w:spacing w:val="-4"/>
          <w:lang w:val="es-ES_tradnl"/>
        </w:rPr>
        <w:t xml:space="preserve"> de Crédito de FINAGRO, las modificaciones al proyecto.</w:t>
      </w:r>
    </w:p>
    <w:p w:rsidR="008B2F29" w:rsidRPr="00E41F77" w:rsidRDefault="008B2F29" w:rsidP="008B2F29">
      <w:pPr>
        <w:shd w:val="clear" w:color="auto" w:fill="FFFFFF"/>
        <w:spacing w:before="264" w:line="246" w:lineRule="exact"/>
        <w:ind w:left="720" w:right="114" w:hanging="720"/>
        <w:jc w:val="both"/>
        <w:rPr>
          <w:rFonts w:ascii="Arial" w:hAnsi="Arial" w:cs="Arial"/>
          <w:b/>
          <w:bCs/>
        </w:rPr>
      </w:pPr>
      <w:bookmarkStart w:id="3" w:name="_Toc188180250"/>
      <w:bookmarkStart w:id="4" w:name="_Toc188235805"/>
      <w:bookmarkStart w:id="5" w:name="_Toc188260493"/>
      <w:r w:rsidRPr="00E41F77">
        <w:rPr>
          <w:rFonts w:ascii="Arial" w:hAnsi="Arial" w:cs="Arial"/>
          <w:b/>
          <w:bCs/>
        </w:rPr>
        <w:t>1.1.7. MODALIDADES DE REDESCUENTO, VALIDACIÓN DE CARTERA SUSTITUTIVA</w:t>
      </w:r>
      <w:bookmarkEnd w:id="3"/>
      <w:bookmarkEnd w:id="4"/>
      <w:bookmarkEnd w:id="5"/>
      <w:r w:rsidRPr="00E41F77">
        <w:rPr>
          <w:rFonts w:ascii="Arial" w:hAnsi="Arial" w:cs="Arial"/>
          <w:b/>
          <w:bCs/>
        </w:rPr>
        <w:t xml:space="preserve"> Y REGISTRO DE CARTERA AGROPECUARIA</w:t>
      </w:r>
    </w:p>
    <w:p w:rsidR="008B2F29" w:rsidRPr="00E41F77" w:rsidRDefault="008B2F29" w:rsidP="008B2F29">
      <w:pPr>
        <w:shd w:val="clear" w:color="auto" w:fill="FFFFFF"/>
        <w:spacing w:before="240" w:line="246" w:lineRule="exact"/>
        <w:ind w:right="120"/>
        <w:jc w:val="both"/>
        <w:rPr>
          <w:rFonts w:ascii="Arial" w:hAnsi="Arial" w:cs="Arial"/>
        </w:rPr>
      </w:pPr>
      <w:r w:rsidRPr="00E41F77">
        <w:rPr>
          <w:rFonts w:ascii="Arial" w:hAnsi="Arial" w:cs="Arial"/>
          <w:color w:val="000000"/>
          <w:spacing w:val="-3"/>
          <w:lang w:val="es-ES_tradnl"/>
        </w:rPr>
        <w:t>Una vez los créditos han sido aprobados por las entidades otorgantes, existen dos modalidades para su redescuento, validación o registro, según sea del caso, ante FINAGRO:</w:t>
      </w:r>
    </w:p>
    <w:p w:rsidR="008B2F29" w:rsidRPr="00FF1F10" w:rsidRDefault="008B2F29" w:rsidP="008B2F29">
      <w:pPr>
        <w:numPr>
          <w:ilvl w:val="0"/>
          <w:numId w:val="8"/>
        </w:numPr>
        <w:shd w:val="clear" w:color="auto" w:fill="FFFFFF"/>
        <w:spacing w:before="270" w:line="240" w:lineRule="exact"/>
        <w:ind w:right="126"/>
        <w:jc w:val="both"/>
        <w:rPr>
          <w:rFonts w:ascii="Arial" w:hAnsi="Arial" w:cs="Arial"/>
          <w:spacing w:val="-2"/>
          <w:lang w:val="es-ES_tradnl"/>
        </w:rPr>
      </w:pPr>
      <w:r w:rsidRPr="00FF1F10">
        <w:rPr>
          <w:rFonts w:ascii="Arial" w:hAnsi="Arial" w:cs="Arial"/>
          <w:spacing w:val="3"/>
          <w:lang w:val="es-ES_tradnl"/>
        </w:rPr>
        <w:t>Automático: procedimiento mediante el cual, previamente al desembolso, las entidades otorgantes presentan a</w:t>
      </w:r>
      <w:r w:rsidRPr="00FF1F10">
        <w:rPr>
          <w:rFonts w:ascii="Arial" w:hAnsi="Arial" w:cs="Arial"/>
          <w:spacing w:val="1"/>
          <w:lang w:val="es-ES_tradnl"/>
        </w:rPr>
        <w:t xml:space="preserve">nte </w:t>
      </w:r>
      <w:smartTag w:uri="urn:schemas-microsoft-com:office:smarttags" w:element="PersonName">
        <w:smartTagPr>
          <w:attr w:name="ProductID" w:val="la Direcci￳n"/>
        </w:smartTagPr>
        <w:r w:rsidRPr="00FF1F10">
          <w:rPr>
            <w:rFonts w:ascii="Arial" w:hAnsi="Arial" w:cs="Arial"/>
            <w:spacing w:val="1"/>
            <w:lang w:val="es-ES_tradnl"/>
          </w:rPr>
          <w:t>la Dirección</w:t>
        </w:r>
      </w:smartTag>
      <w:r w:rsidRPr="00FF1F10">
        <w:rPr>
          <w:rFonts w:ascii="Arial" w:hAnsi="Arial" w:cs="Arial"/>
          <w:spacing w:val="1"/>
          <w:lang w:val="es-ES_tradnl"/>
        </w:rPr>
        <w:t xml:space="preserve"> de Cartera de FINAGRO la forma 126 debidamente diligenciada y de acuerdo con los procedimientos y plazos establecidos en el Capítulo VI del presente Manual de Servicios.</w:t>
      </w:r>
    </w:p>
    <w:p w:rsidR="008B2F29" w:rsidRPr="00FF1F10" w:rsidRDefault="008B2F29" w:rsidP="008B2F29">
      <w:pPr>
        <w:shd w:val="clear" w:color="auto" w:fill="FFFFFF"/>
        <w:spacing w:before="270" w:line="240" w:lineRule="exact"/>
        <w:ind w:left="709" w:right="126"/>
        <w:jc w:val="both"/>
        <w:rPr>
          <w:rFonts w:ascii="Arial" w:hAnsi="Arial" w:cs="Arial"/>
          <w:spacing w:val="-2"/>
          <w:lang w:val="es-ES_tradnl"/>
        </w:rPr>
      </w:pPr>
      <w:r w:rsidRPr="00FF1F10">
        <w:rPr>
          <w:rFonts w:ascii="Arial" w:hAnsi="Arial" w:cs="Arial"/>
          <w:spacing w:val="2"/>
          <w:lang w:val="es-ES_tradnl"/>
        </w:rPr>
        <w:t>Por regla general todas las operaciones de redescuento, validación, registro, así como el otorgamiento de garantía del FAG, serán tramitadas bajo el procedimiento automático, excepto las que se encuentren incluidas en el siguiente literal como de calificación previa.</w:t>
      </w:r>
    </w:p>
    <w:p w:rsidR="008B2F29" w:rsidRPr="00FF1F10" w:rsidRDefault="00D86323" w:rsidP="008B2F29">
      <w:pPr>
        <w:numPr>
          <w:ilvl w:val="0"/>
          <w:numId w:val="8"/>
        </w:numPr>
        <w:shd w:val="clear" w:color="auto" w:fill="FFFFFF"/>
        <w:spacing w:before="270" w:line="240" w:lineRule="exact"/>
        <w:ind w:right="126"/>
        <w:jc w:val="both"/>
        <w:rPr>
          <w:rFonts w:ascii="Arial" w:hAnsi="Arial" w:cs="Arial"/>
          <w:spacing w:val="-3"/>
          <w:lang w:val="es-ES_tradnl"/>
        </w:rPr>
      </w:pPr>
      <w:r w:rsidRPr="00D86323">
        <w:rPr>
          <w:rFonts w:ascii="Arial" w:hAnsi="Arial" w:cs="Arial"/>
          <w:noProof/>
          <w:spacing w:val="-2"/>
          <w:lang w:val="es-CO" w:eastAsia="es-CO"/>
        </w:rPr>
        <w:pict>
          <v:shapetype id="_x0000_t32" coordsize="21600,21600" o:spt="32" o:oned="t" path="m,l21600,21600e" filled="f">
            <v:path arrowok="t" fillok="f" o:connecttype="none"/>
            <o:lock v:ext="edit" shapetype="t"/>
          </v:shapetype>
          <v:shape id="_x0000_s1036" type="#_x0000_t32" style="position:absolute;left:0;text-align:left;margin-left:3.8pt;margin-top:77.1pt;width:0;height:108pt;z-index:251667456" o:connectortype="straight"/>
        </w:pict>
      </w:r>
      <w:r w:rsidR="008B2F29" w:rsidRPr="00FF1F10">
        <w:rPr>
          <w:rFonts w:ascii="Arial" w:hAnsi="Arial" w:cs="Arial"/>
          <w:spacing w:val="-2"/>
          <w:lang w:val="es-ES_tradnl"/>
        </w:rPr>
        <w:t>C</w:t>
      </w:r>
      <w:r w:rsidR="008B2F29" w:rsidRPr="00FF1F10">
        <w:rPr>
          <w:rFonts w:ascii="Arial" w:hAnsi="Arial" w:cs="Arial"/>
          <w:spacing w:val="1"/>
          <w:lang w:val="es-ES_tradnl"/>
        </w:rPr>
        <w:t xml:space="preserve">alificación previa: procedimiento mediante el cual las entidades otorgantes deben </w:t>
      </w:r>
      <w:r w:rsidR="008B2F29" w:rsidRPr="00FF1F10">
        <w:rPr>
          <w:rFonts w:ascii="Arial" w:hAnsi="Arial" w:cs="Arial"/>
          <w:spacing w:val="-4"/>
          <w:lang w:val="es-ES_tradnl"/>
        </w:rPr>
        <w:t xml:space="preserve">presentar a FINAGRO, previamente al redescuento o a su desembolso en el caso de </w:t>
      </w:r>
      <w:r w:rsidR="008B2F29" w:rsidRPr="00FF1F10">
        <w:rPr>
          <w:rFonts w:ascii="Arial" w:hAnsi="Arial" w:cs="Arial"/>
          <w:spacing w:val="2"/>
          <w:lang w:val="es-ES_tradnl"/>
        </w:rPr>
        <w:t xml:space="preserve">cartera sustitutiva o agropecuaria, la solicitud de crédito aprobada, para que el Fondo analice la viabilidad técnica del proyecto </w:t>
      </w:r>
      <w:r w:rsidR="008B2F29" w:rsidRPr="00FF1F10">
        <w:rPr>
          <w:rFonts w:ascii="Arial" w:hAnsi="Arial" w:cs="Arial"/>
          <w:spacing w:val="-3"/>
          <w:lang w:val="es-ES_tradnl"/>
        </w:rPr>
        <w:t>y el cumplimiento de la normatividad establecida en este Manual. Las solicitudes de crédito que requieren calificación previa de FINAGRO s</w:t>
      </w:r>
      <w:r w:rsidR="008B2F29">
        <w:rPr>
          <w:rFonts w:ascii="Arial" w:hAnsi="Arial" w:cs="Arial"/>
          <w:spacing w:val="-3"/>
          <w:lang w:val="es-ES_tradnl"/>
        </w:rPr>
        <w:t>e encuentran relacionadas en el numeral 1 del cuadro 1.1. del Anexo III del presente Manual de Servicios.</w:t>
      </w:r>
    </w:p>
    <w:p w:rsidR="008B2F29" w:rsidRPr="008D6C1F" w:rsidRDefault="008B2F29" w:rsidP="008B2F29">
      <w:pPr>
        <w:shd w:val="clear" w:color="auto" w:fill="FFFFFF"/>
        <w:spacing w:before="270" w:line="240" w:lineRule="exact"/>
        <w:ind w:left="708" w:right="126"/>
        <w:jc w:val="both"/>
        <w:rPr>
          <w:rFonts w:ascii="Arial" w:hAnsi="Arial" w:cs="Arial"/>
        </w:rPr>
      </w:pPr>
      <w:r w:rsidRPr="008D6C1F">
        <w:rPr>
          <w:rFonts w:ascii="Arial" w:hAnsi="Arial" w:cs="Arial"/>
          <w:spacing w:val="-3"/>
          <w:lang w:val="es-ES_tradnl"/>
        </w:rPr>
        <w:t>En el caso de que un proyecto requiera recursos adicionales (Numeral 1.2. del presente Capítulo), dada la evaluación de viabilidad del proyecto efectuad</w:t>
      </w:r>
      <w:r w:rsidR="004770CD">
        <w:rPr>
          <w:rFonts w:ascii="Arial" w:hAnsi="Arial" w:cs="Arial"/>
          <w:spacing w:val="-3"/>
          <w:lang w:val="es-ES_tradnl"/>
        </w:rPr>
        <w:t>a</w:t>
      </w:r>
      <w:r w:rsidRPr="008D6C1F">
        <w:rPr>
          <w:rFonts w:ascii="Arial" w:hAnsi="Arial" w:cs="Arial"/>
          <w:spacing w:val="-3"/>
          <w:lang w:val="es-ES_tradnl"/>
        </w:rPr>
        <w:t xml:space="preserve"> por el intermediario financiero, este nuevo crédito</w:t>
      </w:r>
      <w:r w:rsidR="00305C56">
        <w:rPr>
          <w:rFonts w:ascii="Arial" w:hAnsi="Arial" w:cs="Arial"/>
          <w:spacing w:val="-3"/>
          <w:lang w:val="es-ES_tradnl"/>
        </w:rPr>
        <w:t xml:space="preserve">, </w:t>
      </w:r>
      <w:r w:rsidR="00305C56" w:rsidRPr="0067798F">
        <w:rPr>
          <w:rFonts w:ascii="Arial" w:hAnsi="Arial" w:cs="Arial"/>
          <w:spacing w:val="-3"/>
          <w:lang w:val="es-ES_tradnl"/>
        </w:rPr>
        <w:t>independientemente de su valor,</w:t>
      </w:r>
      <w:r w:rsidRPr="0067798F">
        <w:rPr>
          <w:rFonts w:ascii="Arial" w:hAnsi="Arial" w:cs="Arial"/>
          <w:spacing w:val="-3"/>
          <w:lang w:val="es-ES_tradnl"/>
        </w:rPr>
        <w:t xml:space="preserve"> no</w:t>
      </w:r>
      <w:r w:rsidRPr="008D6C1F">
        <w:rPr>
          <w:rFonts w:ascii="Arial" w:hAnsi="Arial" w:cs="Arial"/>
          <w:spacing w:val="-3"/>
          <w:lang w:val="es-ES_tradnl"/>
        </w:rPr>
        <w:t xml:space="preserve"> requerirá calificación previa de FINAGRO.</w:t>
      </w:r>
    </w:p>
    <w:p w:rsidR="00F16A1B" w:rsidRDefault="00D86323" w:rsidP="00F16A1B">
      <w:pPr>
        <w:shd w:val="clear" w:color="auto" w:fill="FFFFFF"/>
        <w:spacing w:before="270" w:line="240" w:lineRule="exact"/>
        <w:ind w:right="126"/>
        <w:jc w:val="both"/>
        <w:rPr>
          <w:rFonts w:ascii="Arial" w:hAnsi="Arial" w:cs="Arial"/>
          <w:color w:val="000000"/>
          <w:spacing w:val="-3"/>
          <w:sz w:val="21"/>
          <w:szCs w:val="21"/>
          <w:lang w:val="es-ES_tradnl"/>
        </w:rPr>
      </w:pPr>
      <w:r w:rsidRPr="00D86323">
        <w:rPr>
          <w:rFonts w:ascii="Arial" w:hAnsi="Arial" w:cs="Arial"/>
          <w:noProof/>
          <w:color w:val="000000"/>
          <w:spacing w:val="-4"/>
        </w:rPr>
        <w:pict>
          <v:shapetype id="_x0000_t202" coordsize="21600,21600" o:spt="202" path="m,l,21600r21600,l21600,xe">
            <v:stroke joinstyle="miter"/>
            <v:path gradientshapeok="t" o:connecttype="rect"/>
          </v:shapetype>
          <v:shape id="_x0000_s1031" type="#_x0000_t202" style="position:absolute;left:0;text-align:left;margin-left:167.9pt;margin-top:702.25pt;width:126pt;height:45pt;z-index:251666432;mso-position-vertical-relative:page" o:allowoverlap="f" filled="f" stroked="f">
            <o:lock v:ext="edit" aspectratio="t"/>
            <v:textbox style="mso-next-textbox:#_x0000_s1031">
              <w:txbxContent>
                <w:p w:rsidR="008B2F29" w:rsidRDefault="008B2F29" w:rsidP="008B2F29">
                  <w:pPr>
                    <w:jc w:val="center"/>
                    <w:rPr>
                      <w:rFonts w:ascii="Arial" w:hAnsi="Arial" w:cs="Arial"/>
                      <w:b/>
                      <w:color w:val="808080"/>
                      <w:sz w:val="20"/>
                      <w:szCs w:val="20"/>
                    </w:rPr>
                  </w:pPr>
                  <w:r w:rsidRPr="00F16A1B">
                    <w:rPr>
                      <w:rFonts w:ascii="Arial" w:hAnsi="Arial" w:cs="Arial"/>
                      <w:b/>
                      <w:color w:val="808080"/>
                      <w:sz w:val="20"/>
                      <w:szCs w:val="20"/>
                    </w:rPr>
                    <w:t>Página 1</w:t>
                  </w:r>
                  <w:r w:rsidR="005F7F96" w:rsidRPr="00F16A1B">
                    <w:rPr>
                      <w:rFonts w:ascii="Arial" w:hAnsi="Arial" w:cs="Arial"/>
                      <w:b/>
                      <w:color w:val="808080"/>
                      <w:sz w:val="20"/>
                      <w:szCs w:val="20"/>
                    </w:rPr>
                    <w:t>4</w:t>
                  </w:r>
                </w:p>
                <w:p w:rsidR="00F16A1B" w:rsidRPr="00F16A1B" w:rsidRDefault="00F16A1B" w:rsidP="008B2F29">
                  <w:pPr>
                    <w:jc w:val="center"/>
                    <w:rPr>
                      <w:rFonts w:ascii="Arial" w:hAnsi="Arial" w:cs="Arial"/>
                      <w:b/>
                      <w:color w:val="808080"/>
                      <w:sz w:val="20"/>
                      <w:szCs w:val="20"/>
                    </w:rPr>
                  </w:pPr>
                  <w:r>
                    <w:rPr>
                      <w:rFonts w:ascii="Arial" w:hAnsi="Arial" w:cs="Arial"/>
                      <w:b/>
                      <w:color w:val="808080"/>
                      <w:sz w:val="20"/>
                      <w:szCs w:val="20"/>
                    </w:rPr>
                    <w:t>CAP I / P 26 / 13</w:t>
                  </w:r>
                </w:p>
                <w:p w:rsidR="008B2F29" w:rsidRDefault="008B2F29" w:rsidP="008B2F29">
                  <w:pPr>
                    <w:jc w:val="center"/>
                  </w:pPr>
                </w:p>
              </w:txbxContent>
            </v:textbox>
            <w10:wrap anchory="page"/>
          </v:shape>
        </w:pict>
      </w:r>
    </w:p>
    <w:p w:rsidR="0059452D" w:rsidRPr="005610FA" w:rsidRDefault="0059452D" w:rsidP="00F16A1B">
      <w:pPr>
        <w:shd w:val="clear" w:color="auto" w:fill="FFFFFF"/>
        <w:spacing w:before="270" w:line="240" w:lineRule="exact"/>
        <w:ind w:right="126"/>
        <w:jc w:val="both"/>
        <w:rPr>
          <w:rFonts w:ascii="Arial" w:hAnsi="Arial" w:cs="Arial"/>
          <w:b/>
          <w:bCs/>
          <w:color w:val="000000"/>
          <w:spacing w:val="-2"/>
          <w:sz w:val="21"/>
          <w:szCs w:val="21"/>
          <w:lang w:val="es-ES_tradnl"/>
        </w:rPr>
      </w:pPr>
      <w:r w:rsidRPr="005610FA">
        <w:rPr>
          <w:rFonts w:ascii="Arial" w:hAnsi="Arial" w:cs="Arial"/>
          <w:color w:val="000000"/>
          <w:spacing w:val="-3"/>
          <w:sz w:val="21"/>
          <w:szCs w:val="21"/>
          <w:lang w:val="es-ES_tradnl"/>
        </w:rPr>
        <w:lastRenderedPageBreak/>
        <w:t>C</w:t>
      </w:r>
      <w:r w:rsidRPr="005610FA">
        <w:rPr>
          <w:rFonts w:ascii="Arial" w:hAnsi="Arial" w:cs="Arial"/>
          <w:bCs/>
          <w:sz w:val="21"/>
          <w:szCs w:val="21"/>
        </w:rPr>
        <w:t>réditos asociativos desarrollados por pequeños productores, que requieran garantías del FAG a través del Programa Proyectos Especiales con cobertura del 100% del capital.</w:t>
      </w:r>
    </w:p>
    <w:p w:rsidR="0059452D" w:rsidRPr="005610FA" w:rsidRDefault="0059452D" w:rsidP="0059452D">
      <w:pPr>
        <w:shd w:val="clear" w:color="auto" w:fill="FFFFFF"/>
        <w:ind w:right="126"/>
        <w:jc w:val="both"/>
        <w:rPr>
          <w:rFonts w:ascii="Arial" w:hAnsi="Arial" w:cs="Arial"/>
          <w:spacing w:val="-3"/>
          <w:sz w:val="21"/>
          <w:szCs w:val="21"/>
          <w:lang w:val="es-ES_tradnl"/>
        </w:rPr>
      </w:pPr>
    </w:p>
    <w:p w:rsidR="0059452D" w:rsidRPr="005610FA" w:rsidRDefault="0059452D" w:rsidP="0059452D">
      <w:pPr>
        <w:shd w:val="clear" w:color="auto" w:fill="FFFFFF"/>
        <w:ind w:right="126"/>
        <w:jc w:val="both"/>
        <w:rPr>
          <w:rFonts w:ascii="Arial" w:hAnsi="Arial" w:cs="Arial"/>
          <w:b/>
          <w:bCs/>
          <w:spacing w:val="-2"/>
          <w:sz w:val="21"/>
          <w:szCs w:val="21"/>
          <w:lang w:val="es-ES_tradnl"/>
        </w:rPr>
      </w:pPr>
      <w:r w:rsidRPr="005610FA">
        <w:rPr>
          <w:rFonts w:ascii="Arial" w:hAnsi="Arial" w:cs="Arial"/>
          <w:spacing w:val="-3"/>
          <w:sz w:val="21"/>
          <w:szCs w:val="21"/>
          <w:lang w:val="es-ES_tradnl"/>
        </w:rPr>
        <w:t xml:space="preserve">No requerirán de calificación previa la normalización de créditos agropecuarios, excepto si están dentro de los casos indicados en los acápites precedentes.  </w:t>
      </w:r>
    </w:p>
    <w:p w:rsidR="0059452D" w:rsidRPr="005610FA" w:rsidRDefault="0059452D" w:rsidP="0059452D">
      <w:pPr>
        <w:shd w:val="clear" w:color="auto" w:fill="FFFFFF"/>
        <w:jc w:val="both"/>
        <w:rPr>
          <w:rFonts w:ascii="Arial" w:hAnsi="Arial" w:cs="Arial"/>
          <w:b/>
          <w:bCs/>
          <w:color w:val="000000"/>
          <w:spacing w:val="-2"/>
          <w:sz w:val="21"/>
          <w:szCs w:val="21"/>
          <w:lang w:val="es-ES_tradnl"/>
        </w:rPr>
      </w:pPr>
    </w:p>
    <w:p w:rsidR="0059452D" w:rsidRPr="005610FA" w:rsidRDefault="0059452D" w:rsidP="0059452D">
      <w:pPr>
        <w:shd w:val="clear" w:color="auto" w:fill="FFFFFF"/>
        <w:jc w:val="both"/>
        <w:rPr>
          <w:rFonts w:ascii="Arial" w:hAnsi="Arial" w:cs="Arial"/>
          <w:sz w:val="21"/>
          <w:szCs w:val="21"/>
        </w:rPr>
      </w:pPr>
      <w:r w:rsidRPr="005610FA">
        <w:rPr>
          <w:rFonts w:ascii="Arial" w:hAnsi="Arial" w:cs="Arial"/>
          <w:b/>
          <w:bCs/>
          <w:color w:val="000000"/>
          <w:spacing w:val="-2"/>
          <w:sz w:val="21"/>
          <w:szCs w:val="21"/>
          <w:lang w:val="es-ES_tradnl"/>
        </w:rPr>
        <w:t>Vigencia de las calificaciones previas</w:t>
      </w:r>
    </w:p>
    <w:p w:rsidR="0059452D" w:rsidRPr="005610FA" w:rsidRDefault="0059452D" w:rsidP="0059452D">
      <w:pPr>
        <w:shd w:val="clear" w:color="auto" w:fill="FFFFFF"/>
        <w:ind w:left="24" w:right="18"/>
        <w:jc w:val="both"/>
        <w:rPr>
          <w:rFonts w:ascii="Arial" w:hAnsi="Arial" w:cs="Arial"/>
          <w:color w:val="000000"/>
          <w:spacing w:val="-3"/>
          <w:sz w:val="21"/>
          <w:szCs w:val="21"/>
        </w:rPr>
      </w:pPr>
    </w:p>
    <w:p w:rsidR="0059452D" w:rsidRPr="005610FA" w:rsidRDefault="0059452D" w:rsidP="0059452D">
      <w:pPr>
        <w:shd w:val="clear" w:color="auto" w:fill="FFFFFF"/>
        <w:ind w:left="24" w:right="18"/>
        <w:jc w:val="both"/>
        <w:rPr>
          <w:rFonts w:ascii="Arial" w:hAnsi="Arial" w:cs="Arial"/>
          <w:color w:val="000000"/>
          <w:spacing w:val="-4"/>
          <w:sz w:val="21"/>
          <w:szCs w:val="21"/>
          <w:lang w:val="es-ES_tradnl"/>
        </w:rPr>
      </w:pPr>
      <w:r w:rsidRPr="005610FA">
        <w:rPr>
          <w:rFonts w:ascii="Arial" w:hAnsi="Arial" w:cs="Arial"/>
          <w:color w:val="000000"/>
          <w:spacing w:val="-3"/>
          <w:sz w:val="21"/>
          <w:szCs w:val="21"/>
          <w:lang w:val="es-ES_tradnl"/>
        </w:rPr>
        <w:t xml:space="preserve">Las aprobaciones de calificación previa tienen vigencia de cuarenta y cinco (45) días calendario contados a partir del día siguiente a </w:t>
      </w:r>
      <w:r w:rsidRPr="005610FA">
        <w:rPr>
          <w:rFonts w:ascii="Arial" w:hAnsi="Arial" w:cs="Arial"/>
          <w:color w:val="000000"/>
          <w:spacing w:val="3"/>
          <w:sz w:val="21"/>
          <w:szCs w:val="21"/>
          <w:lang w:val="es-ES_tradnl"/>
        </w:rPr>
        <w:t xml:space="preserve">la fecha de la comunicación de FINAGRO, para perfeccionar el redescuento ante </w:t>
      </w:r>
      <w:smartTag w:uri="urn:schemas-microsoft-com:office:smarttags" w:element="PersonName">
        <w:smartTagPr>
          <w:attr w:name="ProductID" w:val="la Direcci￳n"/>
        </w:smartTagPr>
        <w:r w:rsidRPr="005610FA">
          <w:rPr>
            <w:rFonts w:ascii="Arial" w:hAnsi="Arial" w:cs="Arial"/>
            <w:color w:val="000000"/>
            <w:spacing w:val="3"/>
            <w:sz w:val="21"/>
            <w:szCs w:val="21"/>
            <w:lang w:val="es-ES_tradnl"/>
          </w:rPr>
          <w:t xml:space="preserve">la </w:t>
        </w:r>
        <w:r w:rsidRPr="005610FA">
          <w:rPr>
            <w:rFonts w:ascii="Arial" w:hAnsi="Arial" w:cs="Arial"/>
            <w:color w:val="000000"/>
            <w:spacing w:val="-5"/>
            <w:sz w:val="21"/>
            <w:szCs w:val="21"/>
            <w:lang w:val="es-ES_tradnl"/>
          </w:rPr>
          <w:t>Dirección</w:t>
        </w:r>
      </w:smartTag>
      <w:r w:rsidRPr="005610FA">
        <w:rPr>
          <w:rFonts w:ascii="Arial" w:hAnsi="Arial" w:cs="Arial"/>
          <w:color w:val="000000"/>
          <w:spacing w:val="-5"/>
          <w:sz w:val="21"/>
          <w:szCs w:val="21"/>
          <w:lang w:val="es-ES_tradnl"/>
        </w:rPr>
        <w:t xml:space="preserve"> de Cartera si es del caso, o para validarla como cartera sustitutiva o registrarla como cartera agropecuaria. Esta </w:t>
      </w:r>
      <w:r w:rsidRPr="005610FA">
        <w:rPr>
          <w:rFonts w:ascii="Arial" w:hAnsi="Arial" w:cs="Arial"/>
          <w:color w:val="000000"/>
          <w:spacing w:val="-4"/>
          <w:sz w:val="21"/>
          <w:szCs w:val="21"/>
          <w:lang w:val="es-ES_tradnl"/>
        </w:rPr>
        <w:t xml:space="preserve">vigencia se puede ampliar por una sola vez y por un período igual; en caso contrario se pierde la calificación. </w:t>
      </w:r>
    </w:p>
    <w:p w:rsidR="0059452D" w:rsidRPr="005610FA" w:rsidRDefault="0059452D" w:rsidP="0059452D">
      <w:pPr>
        <w:shd w:val="clear" w:color="auto" w:fill="FFFFFF"/>
        <w:ind w:left="24" w:right="18"/>
        <w:jc w:val="both"/>
        <w:rPr>
          <w:rFonts w:ascii="Arial" w:hAnsi="Arial" w:cs="Arial"/>
          <w:b/>
          <w:color w:val="000000"/>
          <w:spacing w:val="-4"/>
          <w:sz w:val="21"/>
          <w:szCs w:val="21"/>
          <w:lang w:val="es-ES_tradnl"/>
        </w:rPr>
      </w:pPr>
    </w:p>
    <w:p w:rsidR="0059452D" w:rsidRPr="005610FA" w:rsidRDefault="0059452D" w:rsidP="0059452D">
      <w:pPr>
        <w:shd w:val="clear" w:color="auto" w:fill="FFFFFF"/>
        <w:ind w:left="24" w:right="18"/>
        <w:jc w:val="both"/>
        <w:rPr>
          <w:rFonts w:ascii="Arial" w:hAnsi="Arial" w:cs="Arial"/>
          <w:b/>
          <w:color w:val="000000"/>
          <w:spacing w:val="-4"/>
          <w:sz w:val="21"/>
          <w:szCs w:val="21"/>
          <w:lang w:val="es-ES_tradnl"/>
        </w:rPr>
      </w:pPr>
      <w:r w:rsidRPr="005610FA">
        <w:rPr>
          <w:rFonts w:ascii="Arial" w:hAnsi="Arial" w:cs="Arial"/>
          <w:b/>
          <w:color w:val="000000"/>
          <w:spacing w:val="-4"/>
          <w:sz w:val="21"/>
          <w:szCs w:val="21"/>
          <w:lang w:val="es-ES_tradnl"/>
        </w:rPr>
        <w:t>OPERACIONES DE LEASING</w:t>
      </w:r>
    </w:p>
    <w:p w:rsidR="0059452D" w:rsidRPr="005610FA" w:rsidRDefault="0059452D" w:rsidP="0059452D">
      <w:pPr>
        <w:shd w:val="clear" w:color="auto" w:fill="FFFFFF"/>
        <w:ind w:right="17"/>
        <w:jc w:val="both"/>
        <w:rPr>
          <w:rFonts w:ascii="Arial" w:hAnsi="Arial" w:cs="Arial"/>
          <w:sz w:val="21"/>
          <w:szCs w:val="21"/>
        </w:rPr>
      </w:pPr>
    </w:p>
    <w:p w:rsidR="0059452D" w:rsidRPr="005610FA" w:rsidRDefault="0059452D" w:rsidP="0059452D">
      <w:pPr>
        <w:shd w:val="clear" w:color="auto" w:fill="FFFFFF"/>
        <w:ind w:right="17"/>
        <w:jc w:val="both"/>
        <w:rPr>
          <w:rFonts w:ascii="Arial" w:hAnsi="Arial" w:cs="Arial"/>
          <w:sz w:val="21"/>
          <w:szCs w:val="21"/>
        </w:rPr>
      </w:pPr>
      <w:r w:rsidRPr="005610FA">
        <w:rPr>
          <w:rFonts w:ascii="Arial" w:hAnsi="Arial" w:cs="Arial"/>
          <w:sz w:val="21"/>
          <w:szCs w:val="21"/>
        </w:rPr>
        <w:t xml:space="preserve">Teniendo en cuenta que mediante el Decreto 1145 de 2003 se reglamentó el artículo 94 de </w:t>
      </w:r>
      <w:smartTag w:uri="urn:schemas-microsoft-com:office:smarttags" w:element="PersonName">
        <w:smartTagPr>
          <w:attr w:name="ProductID" w:val="la Ley"/>
        </w:smartTagPr>
        <w:r w:rsidRPr="005610FA">
          <w:rPr>
            <w:rFonts w:ascii="Arial" w:hAnsi="Arial" w:cs="Arial"/>
            <w:sz w:val="21"/>
            <w:szCs w:val="21"/>
          </w:rPr>
          <w:t>la Ley</w:t>
        </w:r>
      </w:smartTag>
      <w:r w:rsidRPr="005610FA">
        <w:rPr>
          <w:rFonts w:ascii="Arial" w:hAnsi="Arial" w:cs="Arial"/>
          <w:sz w:val="21"/>
          <w:szCs w:val="21"/>
        </w:rPr>
        <w:t xml:space="preserve"> 795 de 2003, y en el mismo se autoriza a los Fondos de redescuento, entre ellos FINAGRO, a realizar operaciones de redescuento de contratos de leasing, se autoriza el trámite de estas operaciones ante FINAGRO.</w:t>
      </w:r>
    </w:p>
    <w:p w:rsidR="0059452D" w:rsidRPr="005610FA" w:rsidRDefault="0059452D" w:rsidP="0059452D">
      <w:pPr>
        <w:shd w:val="clear" w:color="auto" w:fill="FFFFFF"/>
        <w:ind w:right="17"/>
        <w:jc w:val="both"/>
        <w:rPr>
          <w:rFonts w:ascii="Arial" w:hAnsi="Arial" w:cs="Arial"/>
          <w:sz w:val="21"/>
          <w:szCs w:val="21"/>
        </w:rPr>
      </w:pPr>
    </w:p>
    <w:p w:rsidR="0059452D" w:rsidRPr="005610FA" w:rsidRDefault="0059452D" w:rsidP="0059452D">
      <w:pPr>
        <w:shd w:val="clear" w:color="auto" w:fill="FFFFFF"/>
        <w:ind w:right="17"/>
        <w:jc w:val="both"/>
        <w:rPr>
          <w:rFonts w:ascii="Arial" w:hAnsi="Arial" w:cs="Arial"/>
          <w:sz w:val="21"/>
          <w:szCs w:val="21"/>
        </w:rPr>
      </w:pPr>
      <w:r w:rsidRPr="005610FA">
        <w:rPr>
          <w:rFonts w:ascii="Arial" w:hAnsi="Arial" w:cs="Arial"/>
          <w:sz w:val="21"/>
          <w:szCs w:val="21"/>
        </w:rPr>
        <w:t>En consecuencia, serán financiables los activos productivos del sector agropecuario y en cuanto a beneficiarios, condiciones financieras, incentivos y trámite, se aplicará la reglamentación contenida en el presente manual.</w:t>
      </w:r>
    </w:p>
    <w:p w:rsidR="0059452D" w:rsidRPr="005610FA" w:rsidRDefault="0059452D" w:rsidP="0059452D">
      <w:pPr>
        <w:ind w:right="64"/>
        <w:jc w:val="both"/>
        <w:rPr>
          <w:rFonts w:ascii="Arial" w:hAnsi="Arial" w:cs="Arial"/>
          <w:color w:val="FF0000"/>
          <w:sz w:val="21"/>
          <w:szCs w:val="21"/>
        </w:rPr>
      </w:pPr>
    </w:p>
    <w:p w:rsidR="0059452D" w:rsidRPr="00774BDE" w:rsidRDefault="0059452D" w:rsidP="0059452D">
      <w:pPr>
        <w:tabs>
          <w:tab w:val="left" w:pos="204"/>
        </w:tabs>
        <w:jc w:val="both"/>
        <w:rPr>
          <w:rFonts w:ascii="Arial" w:hAnsi="Arial" w:cs="Arial"/>
          <w:sz w:val="21"/>
          <w:szCs w:val="21"/>
        </w:rPr>
      </w:pPr>
      <w:r w:rsidRPr="00774BDE">
        <w:rPr>
          <w:rFonts w:ascii="Arial" w:hAnsi="Arial" w:cs="Arial"/>
          <w:sz w:val="21"/>
          <w:szCs w:val="21"/>
        </w:rPr>
        <w:t xml:space="preserve">También se podrán financiar dichas inversiones mediante operaciones de leasing operativo o arrendamiento sin opción de compra, entendiendo por tal el </w:t>
      </w:r>
      <w:r w:rsidRPr="00774BDE">
        <w:rPr>
          <w:rFonts w:ascii="Arial" w:eastAsia="Calibri" w:hAnsi="Arial" w:cs="Arial"/>
          <w:sz w:val="21"/>
          <w:szCs w:val="21"/>
        </w:rPr>
        <w:t xml:space="preserve">contrato en virtud del cual una persona natural o jurídica, denominada “la arrendadora”, entrega a otra, llamada “la arrendataria”, la  tenencia  de un bien para su uso y goce, a cambio del pago de un canon o renta periódica. </w:t>
      </w:r>
      <w:r w:rsidR="007B3146">
        <w:rPr>
          <w:rFonts w:ascii="Arial" w:eastAsia="Calibri" w:hAnsi="Arial" w:cs="Arial"/>
          <w:sz w:val="21"/>
          <w:szCs w:val="21"/>
        </w:rPr>
        <w:t>Estas</w:t>
      </w:r>
      <w:r w:rsidRPr="00774BDE">
        <w:rPr>
          <w:rFonts w:ascii="Arial" w:hAnsi="Arial" w:cs="Arial"/>
          <w:sz w:val="21"/>
          <w:szCs w:val="21"/>
        </w:rPr>
        <w:t xml:space="preserve"> operaciones no contarán con garantía del Fondo Agropecuario de Garantías- FAG ni se inscribirán para elegibilidad del Incentivo a la Capitalización Rural - ICR.</w:t>
      </w:r>
    </w:p>
    <w:p w:rsidR="0059452D" w:rsidRPr="00774BDE" w:rsidRDefault="0059452D" w:rsidP="0059452D">
      <w:pPr>
        <w:ind w:right="64"/>
        <w:jc w:val="both"/>
        <w:rPr>
          <w:rFonts w:ascii="Arial" w:hAnsi="Arial" w:cs="Arial"/>
          <w:sz w:val="21"/>
          <w:szCs w:val="21"/>
        </w:rPr>
      </w:pPr>
    </w:p>
    <w:p w:rsidR="0059452D" w:rsidRPr="005610FA" w:rsidRDefault="0059452D" w:rsidP="0059452D">
      <w:pPr>
        <w:ind w:right="64"/>
        <w:jc w:val="both"/>
        <w:rPr>
          <w:rFonts w:ascii="Arial" w:hAnsi="Arial" w:cs="Arial"/>
          <w:sz w:val="21"/>
          <w:szCs w:val="21"/>
          <w:lang w:val="es-ES_tradnl"/>
        </w:rPr>
      </w:pPr>
      <w:r w:rsidRPr="00774BDE">
        <w:rPr>
          <w:rFonts w:ascii="Arial" w:hAnsi="Arial" w:cs="Arial"/>
          <w:sz w:val="21"/>
          <w:szCs w:val="21"/>
        </w:rPr>
        <w:t>En las operaciones de leasing, la máxima antigüedad del gasto</w:t>
      </w:r>
      <w:r w:rsidRPr="005610FA">
        <w:rPr>
          <w:rFonts w:ascii="Arial" w:hAnsi="Arial" w:cs="Arial"/>
          <w:sz w:val="21"/>
          <w:szCs w:val="21"/>
        </w:rPr>
        <w:t xml:space="preserve"> permitida será de un (1) año, a menos que el(</w:t>
      </w:r>
      <w:r w:rsidRPr="005610FA">
        <w:rPr>
          <w:rFonts w:ascii="Arial" w:hAnsi="Arial" w:cs="Arial"/>
          <w:sz w:val="21"/>
          <w:szCs w:val="21"/>
          <w:lang w:val="es-ES_tradnl"/>
        </w:rPr>
        <w:t xml:space="preserve">los) “anticipo(s)” del leasing al productor sean </w:t>
      </w:r>
      <w:proofErr w:type="spellStart"/>
      <w:r w:rsidRPr="005610FA">
        <w:rPr>
          <w:rFonts w:ascii="Arial" w:hAnsi="Arial" w:cs="Arial"/>
          <w:sz w:val="21"/>
          <w:szCs w:val="21"/>
          <w:lang w:val="es-ES_tradnl"/>
        </w:rPr>
        <w:t>redescontados</w:t>
      </w:r>
      <w:proofErr w:type="spellEnd"/>
      <w:r w:rsidRPr="005610FA">
        <w:rPr>
          <w:rFonts w:ascii="Arial" w:hAnsi="Arial" w:cs="Arial"/>
          <w:sz w:val="21"/>
          <w:szCs w:val="21"/>
          <w:lang w:val="es-ES_tradnl"/>
        </w:rPr>
        <w:t xml:space="preserve">, caso en el cual se seguirán las reglas generales sobre antigüedad del gasto. </w:t>
      </w:r>
    </w:p>
    <w:p w:rsidR="0059452D" w:rsidRPr="005610FA" w:rsidRDefault="0059452D" w:rsidP="0059452D">
      <w:pPr>
        <w:shd w:val="clear" w:color="auto" w:fill="FFFFFF"/>
        <w:ind w:right="17"/>
        <w:jc w:val="both"/>
        <w:rPr>
          <w:rFonts w:ascii="Arial" w:hAnsi="Arial" w:cs="Arial"/>
          <w:sz w:val="21"/>
          <w:szCs w:val="21"/>
        </w:rPr>
      </w:pPr>
    </w:p>
    <w:p w:rsidR="0059452D" w:rsidRPr="005610FA" w:rsidRDefault="0059452D" w:rsidP="0059452D">
      <w:pPr>
        <w:shd w:val="clear" w:color="auto" w:fill="FFFFFF"/>
        <w:ind w:right="17"/>
        <w:jc w:val="both"/>
        <w:rPr>
          <w:rFonts w:ascii="Arial" w:hAnsi="Arial" w:cs="Arial"/>
          <w:sz w:val="21"/>
          <w:szCs w:val="21"/>
        </w:rPr>
      </w:pPr>
      <w:r w:rsidRPr="005610FA">
        <w:rPr>
          <w:rFonts w:ascii="Arial" w:hAnsi="Arial" w:cs="Arial"/>
          <w:sz w:val="21"/>
          <w:szCs w:val="21"/>
        </w:rPr>
        <w:t xml:space="preserve">Para todas las operaciones de leasing, bien sean </w:t>
      </w:r>
      <w:proofErr w:type="spellStart"/>
      <w:r w:rsidRPr="005610FA">
        <w:rPr>
          <w:rFonts w:ascii="Arial" w:hAnsi="Arial" w:cs="Arial"/>
          <w:sz w:val="21"/>
          <w:szCs w:val="21"/>
        </w:rPr>
        <w:t>redescontadas</w:t>
      </w:r>
      <w:proofErr w:type="spellEnd"/>
      <w:r>
        <w:rPr>
          <w:rFonts w:ascii="Arial" w:hAnsi="Arial" w:cs="Arial"/>
          <w:sz w:val="21"/>
          <w:szCs w:val="21"/>
        </w:rPr>
        <w:t xml:space="preserve">, agropecuarias </w:t>
      </w:r>
      <w:r w:rsidRPr="005610FA">
        <w:rPr>
          <w:rFonts w:ascii="Arial" w:hAnsi="Arial" w:cs="Arial"/>
          <w:sz w:val="21"/>
          <w:szCs w:val="21"/>
        </w:rPr>
        <w:t>o sustitutivas, las Compañías de Financiamiento Comercial deberán mantener en la carpeta del cliente, la documentación exigida para el trámite; así mismo se deberán mantener adecuadamente custodiados, los contratos de leasing totalmente diligenciados y perfeccionados por las partes, y el pagaré en blanco con sus carta de instrucciones. Cuando se trate de operaciones de redescuento los contratos de arrendamiento deberán contar con la cesión condicionadas de los cánones de arrendamiento derivados del contrato, mediante  endoso en propiedad del respectivo contrato a favor de FINAGRO.</w:t>
      </w:r>
    </w:p>
    <w:p w:rsidR="0059452D" w:rsidRDefault="00D86323" w:rsidP="0059452D">
      <w:pPr>
        <w:shd w:val="clear" w:color="auto" w:fill="FFFFFF"/>
        <w:ind w:right="17"/>
        <w:jc w:val="both"/>
        <w:rPr>
          <w:rFonts w:ascii="Arial" w:hAnsi="Arial" w:cs="Arial"/>
        </w:rPr>
      </w:pPr>
      <w:r>
        <w:rPr>
          <w:rFonts w:ascii="Arial" w:hAnsi="Arial" w:cs="Arial"/>
          <w:noProof/>
          <w:lang w:val="es-CO" w:eastAsia="es-CO"/>
        </w:rPr>
        <w:pict>
          <v:shape id="_x0000_s1028" type="#_x0000_t202" style="position:absolute;left:0;text-align:left;margin-left:166.95pt;margin-top:692.85pt;width:101.15pt;height:52.15pt;z-index:251662336;mso-wrap-style:none;mso-position-vertical-relative:page" o:allowoverlap="f" filled="f" stroked="f">
            <o:lock v:ext="edit" aspectratio="t"/>
            <v:textbox style="mso-next-textbox:#_x0000_s1028">
              <w:txbxContent>
                <w:p w:rsidR="0059452D" w:rsidRDefault="0059452D" w:rsidP="0059452D">
                  <w:pPr>
                    <w:jc w:val="center"/>
                    <w:rPr>
                      <w:rFonts w:ascii="Arial" w:hAnsi="Arial" w:cs="Arial"/>
                      <w:b/>
                      <w:color w:val="808080"/>
                    </w:rPr>
                  </w:pPr>
                </w:p>
                <w:p w:rsidR="0059452D" w:rsidRPr="0059452D" w:rsidRDefault="0059452D" w:rsidP="0059452D">
                  <w:pPr>
                    <w:jc w:val="center"/>
                    <w:rPr>
                      <w:rFonts w:ascii="Arial" w:hAnsi="Arial" w:cs="Arial"/>
                      <w:b/>
                      <w:color w:val="808080"/>
                      <w:sz w:val="20"/>
                      <w:szCs w:val="20"/>
                    </w:rPr>
                  </w:pPr>
                  <w:r w:rsidRPr="0059452D">
                    <w:rPr>
                      <w:rFonts w:ascii="Arial" w:hAnsi="Arial" w:cs="Arial"/>
                      <w:b/>
                      <w:color w:val="808080"/>
                      <w:sz w:val="20"/>
                      <w:szCs w:val="20"/>
                    </w:rPr>
                    <w:t>Página 15</w:t>
                  </w:r>
                </w:p>
                <w:p w:rsidR="0059452D" w:rsidRDefault="0059452D" w:rsidP="00F16A1B">
                  <w:pPr>
                    <w:rPr>
                      <w:rFonts w:ascii="Arial" w:hAnsi="Arial" w:cs="Arial"/>
                      <w:b/>
                      <w:color w:val="808080"/>
                    </w:rPr>
                  </w:pPr>
                </w:p>
              </w:txbxContent>
            </v:textbox>
            <w10:wrap anchory="page"/>
          </v:shape>
        </w:pict>
      </w:r>
    </w:p>
    <w:p w:rsidR="0059452D" w:rsidRDefault="0059452D" w:rsidP="0059452D">
      <w:pPr>
        <w:shd w:val="clear" w:color="auto" w:fill="FFFFFF"/>
        <w:ind w:right="17"/>
        <w:jc w:val="both"/>
        <w:rPr>
          <w:rFonts w:ascii="Arial" w:hAnsi="Arial" w:cs="Arial"/>
        </w:rPr>
      </w:pPr>
    </w:p>
    <w:p w:rsidR="0059452D" w:rsidRDefault="0059452D" w:rsidP="0059452D">
      <w:pPr>
        <w:shd w:val="clear" w:color="auto" w:fill="FFFFFF"/>
        <w:ind w:right="17"/>
        <w:jc w:val="both"/>
        <w:rPr>
          <w:rFonts w:ascii="Arial" w:hAnsi="Arial" w:cs="Arial"/>
        </w:rPr>
      </w:pPr>
    </w:p>
    <w:p w:rsidR="0059452D" w:rsidRPr="00541227" w:rsidRDefault="0059452D" w:rsidP="0059452D">
      <w:pPr>
        <w:pStyle w:val="Ttulo2"/>
        <w:spacing w:before="0" w:after="0"/>
        <w:jc w:val="both"/>
        <w:rPr>
          <w:i w:val="0"/>
          <w:sz w:val="21"/>
          <w:szCs w:val="21"/>
        </w:rPr>
      </w:pPr>
      <w:r w:rsidRPr="00541227">
        <w:rPr>
          <w:i w:val="0"/>
          <w:sz w:val="21"/>
          <w:szCs w:val="21"/>
        </w:rPr>
        <w:lastRenderedPageBreak/>
        <w:t>1.2 LÍNEAS DE CRÉDITO FINAGRO</w:t>
      </w:r>
    </w:p>
    <w:p w:rsidR="0059452D" w:rsidRPr="00541227" w:rsidRDefault="0059452D" w:rsidP="0059452D">
      <w:pPr>
        <w:shd w:val="clear" w:color="auto" w:fill="FFFFFF"/>
        <w:ind w:left="12" w:right="156"/>
        <w:jc w:val="both"/>
        <w:rPr>
          <w:rFonts w:ascii="Arial" w:hAnsi="Arial" w:cs="Arial"/>
          <w:color w:val="000000"/>
          <w:spacing w:val="-1"/>
          <w:sz w:val="21"/>
          <w:szCs w:val="21"/>
          <w:lang w:val="es-ES_tradnl"/>
        </w:rPr>
      </w:pPr>
    </w:p>
    <w:p w:rsidR="0059452D" w:rsidRPr="00541227" w:rsidRDefault="0059452D" w:rsidP="0059452D">
      <w:pPr>
        <w:shd w:val="clear" w:color="auto" w:fill="FFFFFF"/>
        <w:ind w:left="12" w:right="156"/>
        <w:jc w:val="both"/>
        <w:rPr>
          <w:rFonts w:ascii="Arial" w:hAnsi="Arial" w:cs="Arial"/>
          <w:color w:val="000000"/>
          <w:spacing w:val="-1"/>
          <w:sz w:val="21"/>
          <w:szCs w:val="21"/>
          <w:lang w:val="es-ES_tradnl"/>
        </w:rPr>
      </w:pPr>
      <w:r w:rsidRPr="00541227">
        <w:rPr>
          <w:rFonts w:ascii="Arial" w:hAnsi="Arial" w:cs="Arial"/>
          <w:color w:val="000000"/>
          <w:spacing w:val="-1"/>
          <w:sz w:val="21"/>
          <w:szCs w:val="21"/>
          <w:lang w:val="es-ES_tradnl"/>
        </w:rPr>
        <w:t>La financiación al sector agropecuario y rural se agrupa en líneas de crédito para: Capital de Trabajo, Inversión y Normalización de Cartera.</w:t>
      </w:r>
    </w:p>
    <w:p w:rsidR="0059452D" w:rsidRPr="00541227" w:rsidRDefault="0059452D" w:rsidP="0059452D">
      <w:pPr>
        <w:shd w:val="clear" w:color="auto" w:fill="FFFFFF"/>
        <w:ind w:left="12" w:right="156"/>
        <w:jc w:val="both"/>
        <w:rPr>
          <w:rFonts w:ascii="Arial" w:hAnsi="Arial" w:cs="Arial"/>
          <w:color w:val="000000"/>
          <w:spacing w:val="-1"/>
          <w:sz w:val="21"/>
          <w:szCs w:val="21"/>
          <w:lang w:val="es-ES_tradnl"/>
        </w:rPr>
      </w:pPr>
    </w:p>
    <w:p w:rsidR="0059452D" w:rsidRPr="0067798F" w:rsidRDefault="00D86323" w:rsidP="0059452D">
      <w:pPr>
        <w:shd w:val="clear" w:color="auto" w:fill="FFFFFF"/>
        <w:ind w:left="12" w:right="156"/>
        <w:jc w:val="both"/>
        <w:rPr>
          <w:rFonts w:ascii="Arial" w:hAnsi="Arial" w:cs="Arial"/>
          <w:color w:val="000000"/>
          <w:spacing w:val="-1"/>
          <w:sz w:val="21"/>
          <w:szCs w:val="21"/>
          <w:lang w:val="es-ES_tradnl"/>
        </w:rPr>
      </w:pPr>
      <w:r>
        <w:rPr>
          <w:rFonts w:ascii="Arial" w:hAnsi="Arial" w:cs="Arial"/>
          <w:noProof/>
          <w:color w:val="000000"/>
          <w:spacing w:val="-1"/>
          <w:sz w:val="21"/>
          <w:szCs w:val="21"/>
          <w:lang w:val="es-CO" w:eastAsia="es-CO"/>
        </w:rPr>
        <w:pict>
          <v:shape id="_x0000_s1037" type="#_x0000_t32" style="position:absolute;left:0;text-align:left;margin-left:-23.35pt;margin-top:2.6pt;width:0;height:175.35pt;z-index:251668480" o:connectortype="straight"/>
        </w:pict>
      </w:r>
      <w:r w:rsidR="0059452D" w:rsidRPr="0067798F">
        <w:rPr>
          <w:rFonts w:ascii="Arial" w:hAnsi="Arial" w:cs="Arial"/>
          <w:color w:val="000000"/>
          <w:spacing w:val="-1"/>
          <w:sz w:val="21"/>
          <w:szCs w:val="21"/>
          <w:lang w:val="es-ES_tradnl"/>
        </w:rPr>
        <w:t>Dentro de los costos a financiar con el crédito objeto de redescuento, se puede incluir la comisión por la expedición de la garantía del Fondo Agropecuario de Garantías-FAG, y el IVA que se cause sobre la misma.</w:t>
      </w:r>
      <w:r w:rsidR="00AC44E0" w:rsidRPr="0067798F">
        <w:rPr>
          <w:rFonts w:ascii="Arial" w:hAnsi="Arial" w:cs="Arial"/>
          <w:color w:val="000000"/>
          <w:spacing w:val="-1"/>
          <w:sz w:val="21"/>
          <w:szCs w:val="21"/>
          <w:lang w:val="es-ES_tradnl"/>
        </w:rPr>
        <w:t xml:space="preserve"> Tratándose de normalización de créditos bajo la línea de consolidación de pasivos, se podrán incluir los costos de la comisión y el IVA que se causen sobre el certificado que garantice la consolidación, pero no los pendientes de pago que se hayan causado por la expedición de los certificados originales.</w:t>
      </w:r>
    </w:p>
    <w:p w:rsidR="00123745" w:rsidRPr="0067798F" w:rsidRDefault="00123745" w:rsidP="0059452D">
      <w:pPr>
        <w:shd w:val="clear" w:color="auto" w:fill="FFFFFF"/>
        <w:ind w:left="12" w:right="156"/>
        <w:jc w:val="both"/>
        <w:rPr>
          <w:rFonts w:ascii="Arial" w:hAnsi="Arial" w:cs="Arial"/>
          <w:color w:val="000000"/>
          <w:spacing w:val="-1"/>
          <w:sz w:val="21"/>
          <w:szCs w:val="21"/>
          <w:lang w:val="es-ES_tradnl"/>
        </w:rPr>
      </w:pPr>
    </w:p>
    <w:p w:rsidR="00CD7993" w:rsidRPr="0067798F" w:rsidRDefault="00123745" w:rsidP="00CD7993">
      <w:pPr>
        <w:shd w:val="clear" w:color="auto" w:fill="FFFFFF"/>
        <w:ind w:left="12" w:right="156"/>
        <w:jc w:val="both"/>
        <w:rPr>
          <w:rFonts w:ascii="Arial" w:hAnsi="Arial" w:cs="Arial"/>
          <w:sz w:val="21"/>
          <w:szCs w:val="21"/>
          <w:lang w:val="es-CO"/>
        </w:rPr>
      </w:pPr>
      <w:r w:rsidRPr="0067798F">
        <w:rPr>
          <w:rFonts w:ascii="Arial" w:hAnsi="Arial" w:cs="Arial"/>
          <w:b/>
          <w:color w:val="000000"/>
          <w:spacing w:val="-1"/>
          <w:sz w:val="21"/>
          <w:szCs w:val="21"/>
          <w:lang w:val="es-ES_tradnl"/>
        </w:rPr>
        <w:t>Recursos Adicionales</w:t>
      </w:r>
      <w:r w:rsidR="00647879" w:rsidRPr="0067798F">
        <w:rPr>
          <w:rFonts w:ascii="Arial" w:hAnsi="Arial" w:cs="Arial"/>
          <w:b/>
          <w:color w:val="000000"/>
          <w:spacing w:val="-1"/>
          <w:sz w:val="21"/>
          <w:szCs w:val="21"/>
          <w:lang w:val="es-ES_tradnl"/>
        </w:rPr>
        <w:t xml:space="preserve">: </w:t>
      </w:r>
      <w:r w:rsidR="00647879" w:rsidRPr="0067798F">
        <w:rPr>
          <w:rFonts w:ascii="Arial" w:hAnsi="Arial" w:cs="Arial"/>
          <w:sz w:val="21"/>
          <w:szCs w:val="21"/>
          <w:lang w:val="es-CO"/>
        </w:rPr>
        <w:t>Cuando la correcta ejecución de un proyecto financiado con recursos de crédito agropecuario requiera del otorgamiento de un nuevo crédito, se podrá otorgar la financiación requerida, en los términos vigentes en la normatividad del crédito agropecuario, siempre y cuando el intermediario financiero verifique la adecuada sustentación de la necesidad de los recursos.</w:t>
      </w:r>
      <w:r w:rsidR="008B2F29" w:rsidRPr="0067798F">
        <w:rPr>
          <w:rFonts w:ascii="Arial" w:hAnsi="Arial" w:cs="Arial"/>
          <w:sz w:val="21"/>
          <w:szCs w:val="21"/>
          <w:lang w:val="es-CO"/>
        </w:rPr>
        <w:t xml:space="preserve"> </w:t>
      </w:r>
      <w:r w:rsidR="00CD7993" w:rsidRPr="0067798F">
        <w:rPr>
          <w:rFonts w:ascii="Arial" w:hAnsi="Arial" w:cs="Arial"/>
          <w:sz w:val="21"/>
          <w:szCs w:val="21"/>
          <w:lang w:val="es-CO"/>
        </w:rPr>
        <w:t>La nueva solicitud se deberá presentar por el código  de norma legal dispuesto para este tipo de  operaciones</w:t>
      </w:r>
      <w:r w:rsidR="0067798F" w:rsidRPr="0067798F">
        <w:rPr>
          <w:rFonts w:ascii="Arial" w:hAnsi="Arial" w:cs="Arial"/>
          <w:sz w:val="21"/>
          <w:szCs w:val="21"/>
          <w:lang w:val="es-CO"/>
        </w:rPr>
        <w:t xml:space="preserve"> en el SIOI, </w:t>
      </w:r>
      <w:r w:rsidR="00CD7993" w:rsidRPr="0067798F">
        <w:rPr>
          <w:rFonts w:ascii="Arial" w:hAnsi="Arial" w:cs="Arial"/>
          <w:sz w:val="21"/>
          <w:szCs w:val="21"/>
          <w:lang w:val="es-CO"/>
        </w:rPr>
        <w:t>y se deberá reportar la llave del primer desembolso utilizando el anexo 14 del capítulo VI, con el fin de ligarla al primer desembolso.</w:t>
      </w:r>
    </w:p>
    <w:p w:rsidR="00647879" w:rsidRPr="00541227" w:rsidRDefault="00647879" w:rsidP="00647879">
      <w:pPr>
        <w:shd w:val="clear" w:color="auto" w:fill="FFFFFF"/>
        <w:ind w:left="12" w:right="156"/>
        <w:jc w:val="both"/>
        <w:rPr>
          <w:rFonts w:ascii="Arial" w:hAnsi="Arial" w:cs="Arial"/>
          <w:sz w:val="21"/>
          <w:szCs w:val="21"/>
          <w:highlight w:val="yellow"/>
          <w:lang w:val="es-CO"/>
        </w:rPr>
      </w:pPr>
    </w:p>
    <w:p w:rsidR="0059452D" w:rsidRPr="00541227" w:rsidRDefault="0059452D" w:rsidP="0059452D">
      <w:pPr>
        <w:pStyle w:val="Ttulo3"/>
        <w:shd w:val="clear" w:color="auto" w:fill="FFFFFF"/>
        <w:spacing w:before="0" w:after="0"/>
        <w:jc w:val="both"/>
        <w:rPr>
          <w:bCs w:val="0"/>
          <w:sz w:val="21"/>
          <w:szCs w:val="21"/>
        </w:rPr>
      </w:pPr>
      <w:r w:rsidRPr="00541227">
        <w:rPr>
          <w:bCs w:val="0"/>
          <w:sz w:val="21"/>
          <w:szCs w:val="21"/>
        </w:rPr>
        <w:t>1.2.1 CAPITAL DE TRABAJO</w:t>
      </w:r>
    </w:p>
    <w:p w:rsidR="0059452D" w:rsidRPr="00541227" w:rsidRDefault="0059452D" w:rsidP="0059452D">
      <w:pPr>
        <w:shd w:val="clear" w:color="auto" w:fill="FFFFFF"/>
        <w:ind w:left="12" w:right="162"/>
        <w:jc w:val="both"/>
        <w:rPr>
          <w:rFonts w:ascii="Arial" w:hAnsi="Arial" w:cs="Arial"/>
          <w:color w:val="000000"/>
          <w:spacing w:val="2"/>
          <w:sz w:val="21"/>
          <w:szCs w:val="21"/>
          <w:lang w:val="es-ES_tradnl"/>
        </w:rPr>
      </w:pPr>
    </w:p>
    <w:p w:rsidR="0059452D" w:rsidRPr="00541227" w:rsidRDefault="0059452D" w:rsidP="0059452D">
      <w:pPr>
        <w:shd w:val="clear" w:color="auto" w:fill="FFFFFF"/>
        <w:ind w:left="12" w:right="162"/>
        <w:jc w:val="both"/>
        <w:rPr>
          <w:rFonts w:ascii="Arial" w:hAnsi="Arial" w:cs="Arial"/>
          <w:color w:val="000000"/>
          <w:spacing w:val="-2"/>
          <w:sz w:val="21"/>
          <w:szCs w:val="21"/>
          <w:lang w:val="es-ES_tradnl"/>
        </w:rPr>
      </w:pPr>
      <w:r w:rsidRPr="00541227">
        <w:rPr>
          <w:rFonts w:ascii="Arial" w:hAnsi="Arial" w:cs="Arial"/>
          <w:color w:val="000000"/>
          <w:spacing w:val="2"/>
          <w:sz w:val="21"/>
          <w:szCs w:val="21"/>
          <w:lang w:val="es-ES_tradnl"/>
        </w:rPr>
        <w:t xml:space="preserve">Se financian los costos directos necesarios para el desarrollo de la actividad productiva </w:t>
      </w:r>
      <w:r w:rsidRPr="00541227">
        <w:rPr>
          <w:rFonts w:ascii="Arial" w:hAnsi="Arial" w:cs="Arial"/>
          <w:color w:val="000000"/>
          <w:spacing w:val="-2"/>
          <w:sz w:val="21"/>
          <w:szCs w:val="21"/>
          <w:lang w:val="es-ES_tradnl"/>
        </w:rPr>
        <w:t>agropecuaria o rural, y los requeridos para su comercialización o transformación.</w:t>
      </w:r>
    </w:p>
    <w:p w:rsidR="0059452D" w:rsidRPr="00541227" w:rsidRDefault="0059452D" w:rsidP="0059452D">
      <w:pPr>
        <w:shd w:val="clear" w:color="auto" w:fill="FFFFFF"/>
        <w:ind w:left="12" w:right="156"/>
        <w:jc w:val="both"/>
        <w:rPr>
          <w:rFonts w:ascii="Arial" w:hAnsi="Arial" w:cs="Arial"/>
          <w:sz w:val="21"/>
          <w:szCs w:val="21"/>
        </w:rPr>
      </w:pPr>
      <w:r w:rsidRPr="00541227">
        <w:rPr>
          <w:rFonts w:ascii="Arial" w:hAnsi="Arial" w:cs="Arial"/>
          <w:color w:val="000000"/>
          <w:spacing w:val="3"/>
          <w:sz w:val="21"/>
          <w:szCs w:val="21"/>
          <w:lang w:val="es-ES_tradnl"/>
        </w:rPr>
        <w:t xml:space="preserve">Los créditos para Capital de Trabajo, se podrán otorgar hasta por los montos y plazos </w:t>
      </w:r>
      <w:r w:rsidRPr="00541227">
        <w:rPr>
          <w:rFonts w:ascii="Arial" w:hAnsi="Arial" w:cs="Arial"/>
          <w:color w:val="000000"/>
          <w:spacing w:val="-3"/>
          <w:sz w:val="21"/>
          <w:szCs w:val="21"/>
          <w:lang w:val="es-ES_tradnl"/>
        </w:rPr>
        <w:t>establecidos en los cuadros 1.2 y 1.3 de este capítulo y las actividades financiables son:</w:t>
      </w:r>
    </w:p>
    <w:p w:rsidR="0059452D" w:rsidRPr="00541227" w:rsidRDefault="0059452D" w:rsidP="0059452D">
      <w:pPr>
        <w:shd w:val="clear" w:color="auto" w:fill="FFFFFF"/>
        <w:ind w:left="24"/>
        <w:jc w:val="both"/>
        <w:rPr>
          <w:rFonts w:ascii="Arial" w:hAnsi="Arial" w:cs="Arial"/>
          <w:b/>
          <w:bCs/>
          <w:color w:val="000000"/>
          <w:spacing w:val="-2"/>
          <w:sz w:val="21"/>
          <w:szCs w:val="21"/>
          <w:lang w:val="es-ES_tradnl"/>
        </w:rPr>
      </w:pPr>
    </w:p>
    <w:p w:rsidR="0059452D" w:rsidRPr="00541227" w:rsidRDefault="0059452D" w:rsidP="00647879">
      <w:pPr>
        <w:shd w:val="clear" w:color="auto" w:fill="FFFFFF"/>
        <w:ind w:left="24"/>
        <w:jc w:val="both"/>
        <w:rPr>
          <w:rFonts w:ascii="Arial" w:hAnsi="Arial" w:cs="Arial"/>
          <w:sz w:val="21"/>
          <w:szCs w:val="21"/>
        </w:rPr>
      </w:pPr>
      <w:r w:rsidRPr="00541227">
        <w:rPr>
          <w:rFonts w:ascii="Arial" w:hAnsi="Arial" w:cs="Arial"/>
          <w:b/>
          <w:bCs/>
          <w:color w:val="000000"/>
          <w:spacing w:val="-2"/>
          <w:sz w:val="21"/>
          <w:szCs w:val="21"/>
          <w:lang w:val="es-ES_tradnl"/>
        </w:rPr>
        <w:t>Producción agrícola.</w:t>
      </w:r>
      <w:r w:rsidR="00AD39B1" w:rsidRPr="00541227">
        <w:rPr>
          <w:rFonts w:ascii="Arial" w:hAnsi="Arial" w:cs="Arial"/>
          <w:b/>
          <w:bCs/>
          <w:color w:val="000000"/>
          <w:spacing w:val="-2"/>
          <w:sz w:val="21"/>
          <w:szCs w:val="21"/>
          <w:lang w:val="es-ES_tradnl"/>
        </w:rPr>
        <w:t xml:space="preserve"> </w:t>
      </w:r>
      <w:r w:rsidRPr="00541227">
        <w:rPr>
          <w:rFonts w:ascii="Arial" w:hAnsi="Arial" w:cs="Arial"/>
          <w:color w:val="000000"/>
          <w:spacing w:val="-2"/>
          <w:sz w:val="21"/>
          <w:szCs w:val="21"/>
          <w:lang w:val="es-ES_tradnl"/>
        </w:rPr>
        <w:t xml:space="preserve">Costos incurridos para desarrollar cultivos con periodo vegetativo menor a dos años, y cuyos </w:t>
      </w:r>
      <w:r w:rsidRPr="00541227">
        <w:rPr>
          <w:rFonts w:ascii="Arial" w:hAnsi="Arial" w:cs="Arial"/>
          <w:color w:val="000000"/>
          <w:spacing w:val="-3"/>
          <w:sz w:val="21"/>
          <w:szCs w:val="21"/>
          <w:lang w:val="es-ES_tradnl"/>
        </w:rPr>
        <w:t xml:space="preserve">costos directos se asocian entre otros, a: arrendamiento del predio o lote a sembrar cuando se </w:t>
      </w:r>
      <w:r w:rsidRPr="00541227">
        <w:rPr>
          <w:rFonts w:ascii="Arial" w:hAnsi="Arial" w:cs="Arial"/>
          <w:color w:val="000000"/>
          <w:spacing w:val="2"/>
          <w:sz w:val="21"/>
          <w:szCs w:val="21"/>
          <w:lang w:val="es-ES_tradnl"/>
        </w:rPr>
        <w:t xml:space="preserve">pague directamente al propietario, preparación del suelo, siembra, fertilización, control de </w:t>
      </w:r>
      <w:r w:rsidRPr="00541227">
        <w:rPr>
          <w:rFonts w:ascii="Arial" w:hAnsi="Arial" w:cs="Arial"/>
          <w:color w:val="000000"/>
          <w:spacing w:val="1"/>
          <w:sz w:val="21"/>
          <w:szCs w:val="21"/>
          <w:lang w:val="es-ES_tradnl"/>
        </w:rPr>
        <w:t xml:space="preserve">malezas, suministro de riego y su evacuación, control fitosanitario, recolección, asistencia </w:t>
      </w:r>
      <w:r w:rsidRPr="00541227">
        <w:rPr>
          <w:rFonts w:ascii="Arial" w:hAnsi="Arial" w:cs="Arial"/>
          <w:color w:val="000000"/>
          <w:spacing w:val="-4"/>
          <w:sz w:val="21"/>
          <w:szCs w:val="21"/>
          <w:lang w:val="es-ES_tradnl"/>
        </w:rPr>
        <w:t>técnica, constitución de operaciones de cobertura de precios de la producción a comercializar.</w:t>
      </w:r>
    </w:p>
    <w:p w:rsidR="0059452D" w:rsidRPr="00541227" w:rsidRDefault="0059452D" w:rsidP="0059452D">
      <w:pPr>
        <w:shd w:val="clear" w:color="auto" w:fill="FFFFFF"/>
        <w:jc w:val="both"/>
        <w:rPr>
          <w:rFonts w:ascii="Arial" w:hAnsi="Arial" w:cs="Arial"/>
          <w:b/>
          <w:bCs/>
          <w:color w:val="000000"/>
          <w:spacing w:val="-2"/>
          <w:sz w:val="21"/>
          <w:szCs w:val="21"/>
          <w:lang w:val="es-ES_tradnl"/>
        </w:rPr>
      </w:pPr>
    </w:p>
    <w:p w:rsidR="0059452D" w:rsidRPr="00541227" w:rsidRDefault="0059452D" w:rsidP="00647879">
      <w:pPr>
        <w:shd w:val="clear" w:color="auto" w:fill="FFFFFF"/>
        <w:jc w:val="both"/>
        <w:rPr>
          <w:rFonts w:ascii="Arial" w:hAnsi="Arial" w:cs="Arial"/>
          <w:color w:val="000000"/>
          <w:spacing w:val="-3"/>
          <w:sz w:val="21"/>
          <w:szCs w:val="21"/>
          <w:lang w:val="es-ES_tradnl"/>
        </w:rPr>
      </w:pPr>
      <w:r w:rsidRPr="00541227">
        <w:rPr>
          <w:rFonts w:ascii="Arial" w:hAnsi="Arial" w:cs="Arial"/>
          <w:b/>
          <w:bCs/>
          <w:color w:val="000000"/>
          <w:spacing w:val="-2"/>
          <w:sz w:val="21"/>
          <w:szCs w:val="21"/>
          <w:lang w:val="es-ES_tradnl"/>
        </w:rPr>
        <w:t>Sostenimiento de la producción agropecuaria.</w:t>
      </w:r>
      <w:r w:rsidR="00647879" w:rsidRPr="00541227">
        <w:rPr>
          <w:rFonts w:ascii="Arial" w:hAnsi="Arial" w:cs="Arial"/>
          <w:b/>
          <w:bCs/>
          <w:color w:val="000000"/>
          <w:spacing w:val="-2"/>
          <w:sz w:val="21"/>
          <w:szCs w:val="21"/>
          <w:lang w:val="es-ES_tradnl"/>
        </w:rPr>
        <w:t xml:space="preserve"> </w:t>
      </w:r>
      <w:r w:rsidRPr="00541227">
        <w:rPr>
          <w:rFonts w:ascii="Arial" w:hAnsi="Arial" w:cs="Arial"/>
          <w:color w:val="000000"/>
          <w:spacing w:val="-3"/>
          <w:sz w:val="21"/>
          <w:szCs w:val="21"/>
          <w:lang w:val="es-ES_tradnl"/>
        </w:rPr>
        <w:t>Capital de trabajo requerido para el sostenimiento de:</w:t>
      </w:r>
    </w:p>
    <w:p w:rsidR="0059452D" w:rsidRPr="00541227" w:rsidRDefault="0059452D" w:rsidP="0059452D">
      <w:pPr>
        <w:numPr>
          <w:ilvl w:val="0"/>
          <w:numId w:val="5"/>
        </w:numPr>
        <w:shd w:val="clear" w:color="auto" w:fill="FFFFFF"/>
        <w:ind w:right="84"/>
        <w:jc w:val="both"/>
        <w:rPr>
          <w:rFonts w:ascii="Arial" w:hAnsi="Arial" w:cs="Arial"/>
          <w:color w:val="000000"/>
          <w:spacing w:val="-2"/>
          <w:sz w:val="21"/>
          <w:szCs w:val="21"/>
          <w:lang w:val="es-ES_tradnl"/>
        </w:rPr>
      </w:pPr>
      <w:r w:rsidRPr="00541227">
        <w:rPr>
          <w:rFonts w:ascii="Arial" w:hAnsi="Arial" w:cs="Arial"/>
          <w:color w:val="000000"/>
          <w:spacing w:val="-1"/>
          <w:sz w:val="21"/>
          <w:szCs w:val="21"/>
          <w:lang w:val="es-ES_tradnl"/>
        </w:rPr>
        <w:t xml:space="preserve">Especies vegetales de mediano y tardío rendimiento, establecidas en sitio definitivo, </w:t>
      </w:r>
      <w:r w:rsidRPr="00541227">
        <w:rPr>
          <w:rFonts w:ascii="Arial" w:hAnsi="Arial" w:cs="Arial"/>
          <w:color w:val="000000"/>
          <w:spacing w:val="-3"/>
          <w:sz w:val="21"/>
          <w:szCs w:val="21"/>
          <w:lang w:val="es-ES_tradnl"/>
        </w:rPr>
        <w:t xml:space="preserve">financiando los costos de su sostenimiento en la etapa de producción y asociados a: la fertilización, asistencia técnica, control fitosanitario y de malezas, suministro de riego y </w:t>
      </w:r>
      <w:r w:rsidRPr="00541227">
        <w:rPr>
          <w:rFonts w:ascii="Arial" w:hAnsi="Arial" w:cs="Arial"/>
          <w:color w:val="000000"/>
          <w:spacing w:val="-2"/>
          <w:sz w:val="21"/>
          <w:szCs w:val="21"/>
          <w:lang w:val="es-ES_tradnl"/>
        </w:rPr>
        <w:t>su evacuación recolección, constitución de operaciones de cobertura de precios de la producción a comercializar, arrendamiento de tierra cuando se pague directamente al propietario.</w:t>
      </w:r>
    </w:p>
    <w:p w:rsidR="0059452D" w:rsidRPr="00541227" w:rsidRDefault="0059452D" w:rsidP="0059452D">
      <w:pPr>
        <w:numPr>
          <w:ilvl w:val="0"/>
          <w:numId w:val="5"/>
        </w:numPr>
        <w:shd w:val="clear" w:color="auto" w:fill="FFFFFF"/>
        <w:ind w:right="96"/>
        <w:jc w:val="both"/>
        <w:rPr>
          <w:rFonts w:ascii="Arial" w:hAnsi="Arial" w:cs="Arial"/>
          <w:sz w:val="21"/>
          <w:szCs w:val="21"/>
        </w:rPr>
      </w:pPr>
      <w:r w:rsidRPr="00541227">
        <w:rPr>
          <w:rFonts w:ascii="Arial" w:hAnsi="Arial" w:cs="Arial"/>
          <w:color w:val="000000"/>
          <w:sz w:val="21"/>
          <w:szCs w:val="21"/>
          <w:lang w:val="es-ES_tradnl"/>
        </w:rPr>
        <w:t xml:space="preserve">Especies animales financiando los costos directos asociados a: nutrición, asistencia </w:t>
      </w:r>
      <w:r w:rsidRPr="00541227">
        <w:rPr>
          <w:rFonts w:ascii="Arial" w:hAnsi="Arial" w:cs="Arial"/>
          <w:color w:val="000000"/>
          <w:spacing w:val="-1"/>
          <w:sz w:val="21"/>
          <w:szCs w:val="21"/>
          <w:lang w:val="es-ES_tradnl"/>
        </w:rPr>
        <w:t xml:space="preserve">técnica, control sanitario y manejo de especies, incluidos los relativos a la compra de </w:t>
      </w:r>
      <w:r w:rsidRPr="00541227">
        <w:rPr>
          <w:rFonts w:ascii="Arial" w:hAnsi="Arial" w:cs="Arial"/>
          <w:color w:val="000000"/>
          <w:spacing w:val="-2"/>
          <w:sz w:val="21"/>
          <w:szCs w:val="21"/>
          <w:lang w:val="es-ES_tradnl"/>
        </w:rPr>
        <w:t xml:space="preserve">animales para actividades con ciclos productivos menores a dos años, arrendamiento </w:t>
      </w:r>
      <w:r w:rsidRPr="00541227">
        <w:rPr>
          <w:rFonts w:ascii="Arial" w:hAnsi="Arial" w:cs="Arial"/>
          <w:color w:val="000000"/>
          <w:spacing w:val="-3"/>
          <w:sz w:val="21"/>
          <w:szCs w:val="21"/>
          <w:lang w:val="es-ES_tradnl"/>
        </w:rPr>
        <w:t>de tierra cuando se pague directamente al propietario.</w:t>
      </w:r>
    </w:p>
    <w:p w:rsidR="00D41C32" w:rsidRPr="00541227" w:rsidRDefault="00D86323" w:rsidP="0059452D">
      <w:pPr>
        <w:numPr>
          <w:ilvl w:val="0"/>
          <w:numId w:val="5"/>
        </w:numPr>
        <w:shd w:val="clear" w:color="auto" w:fill="FFFFFF"/>
        <w:ind w:right="49"/>
        <w:jc w:val="both"/>
        <w:rPr>
          <w:sz w:val="21"/>
          <w:szCs w:val="21"/>
          <w:lang w:val="es-ES_tradnl"/>
        </w:rPr>
      </w:pPr>
      <w:r w:rsidRPr="00D86323">
        <w:rPr>
          <w:rFonts w:ascii="Arial" w:hAnsi="Arial" w:cs="Arial"/>
          <w:noProof/>
          <w:color w:val="000000"/>
          <w:sz w:val="21"/>
          <w:szCs w:val="21"/>
        </w:rPr>
        <w:pict>
          <v:shape id="_x0000_s1027" type="#_x0000_t202" style="position:absolute;left:0;text-align:left;margin-left:175.05pt;margin-top:713.5pt;width:61.1pt;height:82.15pt;z-index:251661312;mso-wrap-style:none;mso-position-vertical-relative:page" o:allowoverlap="f" filled="f" stroked="f">
            <o:lock v:ext="edit" aspectratio="t"/>
            <v:textbox style="mso-next-textbox:#_x0000_s1027">
              <w:txbxContent>
                <w:p w:rsidR="0059452D" w:rsidRDefault="0059452D" w:rsidP="0059452D">
                  <w:pPr>
                    <w:jc w:val="center"/>
                    <w:rPr>
                      <w:rFonts w:ascii="Arial" w:hAnsi="Arial" w:cs="Arial"/>
                      <w:b/>
                      <w:color w:val="808080"/>
                      <w:sz w:val="20"/>
                      <w:szCs w:val="20"/>
                    </w:rPr>
                  </w:pPr>
                  <w:r w:rsidRPr="005F7F96">
                    <w:rPr>
                      <w:rFonts w:ascii="Arial" w:hAnsi="Arial" w:cs="Arial"/>
                      <w:b/>
                      <w:color w:val="808080"/>
                      <w:sz w:val="20"/>
                      <w:szCs w:val="20"/>
                    </w:rPr>
                    <w:t>Página 16</w:t>
                  </w:r>
                </w:p>
                <w:p w:rsidR="0058470D" w:rsidRPr="005F7F96" w:rsidRDefault="0058470D" w:rsidP="0059452D">
                  <w:pPr>
                    <w:jc w:val="center"/>
                    <w:rPr>
                      <w:sz w:val="20"/>
                      <w:szCs w:val="20"/>
                    </w:rPr>
                  </w:pPr>
                  <w:r>
                    <w:rPr>
                      <w:rFonts w:ascii="Arial" w:hAnsi="Arial" w:cs="Arial"/>
                      <w:b/>
                      <w:color w:val="808080"/>
                      <w:sz w:val="20"/>
                      <w:szCs w:val="20"/>
                    </w:rPr>
                    <w:t>CAP I / P 26 / 13</w:t>
                  </w:r>
                </w:p>
              </w:txbxContent>
            </v:textbox>
            <w10:wrap anchory="page"/>
          </v:shape>
        </w:pict>
      </w:r>
      <w:r w:rsidR="0059452D" w:rsidRPr="00541227">
        <w:rPr>
          <w:rFonts w:ascii="Arial" w:hAnsi="Arial" w:cs="Arial"/>
          <w:color w:val="000000"/>
          <w:spacing w:val="-3"/>
          <w:sz w:val="21"/>
          <w:szCs w:val="21"/>
          <w:lang w:val="es-ES_tradnl"/>
        </w:rPr>
        <w:t>Pesca, financiando los costos en que se incurran en el proceso de pesca extractiva.</w:t>
      </w:r>
    </w:p>
    <w:sectPr w:rsidR="00D41C32" w:rsidRPr="00541227" w:rsidSect="00DD57D0">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393" w:rsidRDefault="00F90393" w:rsidP="004D1596">
      <w:r>
        <w:separator/>
      </w:r>
    </w:p>
  </w:endnote>
  <w:endnote w:type="continuationSeparator" w:id="0">
    <w:p w:rsidR="00F90393" w:rsidRDefault="00F90393" w:rsidP="004D1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393" w:rsidRDefault="00F90393" w:rsidP="004D1596">
      <w:r>
        <w:separator/>
      </w:r>
    </w:p>
  </w:footnote>
  <w:footnote w:type="continuationSeparator" w:id="0">
    <w:p w:rsidR="00F90393" w:rsidRDefault="00F90393" w:rsidP="004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4D1596" w:rsidTr="00654F72">
      <w:trPr>
        <w:cantSplit/>
        <w:trHeight w:val="495"/>
        <w:jc w:val="center"/>
      </w:trPr>
      <w:tc>
        <w:tcPr>
          <w:tcW w:w="2038" w:type="dxa"/>
          <w:vMerge w:val="restart"/>
          <w:tcBorders>
            <w:bottom w:val="single" w:sz="18" w:space="0" w:color="auto"/>
          </w:tcBorders>
        </w:tcPr>
        <w:p w:rsidR="004D1596" w:rsidRPr="00A41A00" w:rsidRDefault="004D1596" w:rsidP="00654F7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4D1596" w:rsidRPr="004E3517" w:rsidRDefault="004D1596" w:rsidP="00654F72">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tcBorders>
            <w:bottom w:val="single" w:sz="18" w:space="0" w:color="auto"/>
          </w:tcBorders>
          <w:vAlign w:val="center"/>
        </w:tcPr>
        <w:p w:rsidR="004D1596" w:rsidRPr="00D12890" w:rsidRDefault="004D1596" w:rsidP="00654F72">
          <w:pPr>
            <w:pStyle w:val="Ttulo1"/>
            <w:jc w:val="center"/>
            <w:rPr>
              <w:sz w:val="16"/>
              <w:szCs w:val="16"/>
            </w:rPr>
          </w:pPr>
          <w:r w:rsidRPr="00D12890">
            <w:rPr>
              <w:sz w:val="16"/>
              <w:szCs w:val="16"/>
            </w:rPr>
            <w:t>Versión:</w:t>
          </w:r>
          <w:r>
            <w:rPr>
              <w:sz w:val="16"/>
              <w:szCs w:val="16"/>
            </w:rPr>
            <w:t xml:space="preserve"> </w:t>
          </w:r>
          <w:r w:rsidR="003A6873">
            <w:rPr>
              <w:sz w:val="16"/>
              <w:szCs w:val="16"/>
            </w:rPr>
            <w:t>24</w:t>
          </w:r>
        </w:p>
      </w:tc>
    </w:tr>
    <w:tr w:rsidR="004D1596" w:rsidTr="00654F72">
      <w:trPr>
        <w:cantSplit/>
        <w:trHeight w:val="675"/>
        <w:jc w:val="center"/>
      </w:trPr>
      <w:tc>
        <w:tcPr>
          <w:tcW w:w="2038" w:type="dxa"/>
          <w:vMerge/>
        </w:tcPr>
        <w:p w:rsidR="004D1596" w:rsidRDefault="004D1596" w:rsidP="00654F72">
          <w:pPr>
            <w:jc w:val="both"/>
          </w:pPr>
        </w:p>
      </w:tc>
      <w:tc>
        <w:tcPr>
          <w:tcW w:w="5400" w:type="dxa"/>
          <w:vMerge/>
        </w:tcPr>
        <w:p w:rsidR="004D1596" w:rsidRDefault="004D1596" w:rsidP="00654F72">
          <w:pPr>
            <w:jc w:val="center"/>
            <w:rPr>
              <w:b/>
              <w:noProof/>
            </w:rPr>
          </w:pPr>
        </w:p>
      </w:tc>
      <w:tc>
        <w:tcPr>
          <w:tcW w:w="1901" w:type="dxa"/>
          <w:vAlign w:val="center"/>
        </w:tcPr>
        <w:p w:rsidR="004D1596" w:rsidRPr="00D12890" w:rsidRDefault="004D1596" w:rsidP="00654F72">
          <w:pPr>
            <w:pStyle w:val="Ttulo1"/>
            <w:jc w:val="center"/>
            <w:rPr>
              <w:sz w:val="16"/>
              <w:szCs w:val="16"/>
            </w:rPr>
          </w:pPr>
          <w:r w:rsidRPr="00D12890">
            <w:rPr>
              <w:sz w:val="16"/>
              <w:szCs w:val="16"/>
            </w:rPr>
            <w:t>Código</w:t>
          </w:r>
          <w:r>
            <w:rPr>
              <w:sz w:val="16"/>
              <w:szCs w:val="16"/>
            </w:rPr>
            <w:t>: SIN-MAN-001</w:t>
          </w:r>
        </w:p>
      </w:tc>
    </w:tr>
  </w:tbl>
  <w:p w:rsidR="004D1596" w:rsidRDefault="004D1596" w:rsidP="004D1596">
    <w:pPr>
      <w:pStyle w:val="Encabezado"/>
    </w:pPr>
  </w:p>
  <w:p w:rsidR="004D1596" w:rsidRDefault="004D15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04E"/>
    <w:multiLevelType w:val="multilevel"/>
    <w:tmpl w:val="CCA4559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532A98"/>
    <w:multiLevelType w:val="hybridMultilevel"/>
    <w:tmpl w:val="787E07C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430143"/>
    <w:multiLevelType w:val="hybridMultilevel"/>
    <w:tmpl w:val="5E4CEA16"/>
    <w:lvl w:ilvl="0" w:tplc="99526FFC">
      <w:start w:val="3"/>
      <w:numFmt w:val="lowerLetter"/>
      <w:lvlText w:val="%1)"/>
      <w:lvlJc w:val="left"/>
      <w:pPr>
        <w:tabs>
          <w:tab w:val="num" w:pos="57"/>
        </w:tabs>
        <w:ind w:left="454" w:hanging="397"/>
      </w:pPr>
      <w:rPr>
        <w:rFonts w:hint="default"/>
      </w:rPr>
    </w:lvl>
    <w:lvl w:ilvl="1" w:tplc="02421EF6">
      <w:start w:val="1"/>
      <w:numFmt w:val="decimal"/>
      <w:lvlText w:val="(%2)"/>
      <w:lvlJc w:val="left"/>
      <w:pPr>
        <w:tabs>
          <w:tab w:val="num" w:pos="1440"/>
        </w:tabs>
        <w:ind w:left="1440" w:hanging="360"/>
      </w:pPr>
      <w:rPr>
        <w:rFonts w:hint="default"/>
        <w:color w:val="auto"/>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C8B042D"/>
    <w:multiLevelType w:val="hybridMultilevel"/>
    <w:tmpl w:val="20F604EE"/>
    <w:lvl w:ilvl="0" w:tplc="116A72DA">
      <w:start w:val="1"/>
      <w:numFmt w:val="bullet"/>
      <w:lvlText w:val=""/>
      <w:lvlJc w:val="left"/>
      <w:pPr>
        <w:tabs>
          <w:tab w:val="num" w:pos="510"/>
        </w:tabs>
        <w:ind w:left="454" w:hanging="45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06F10E0"/>
    <w:multiLevelType w:val="hybridMultilevel"/>
    <w:tmpl w:val="45B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1CE4B0E"/>
    <w:multiLevelType w:val="hybridMultilevel"/>
    <w:tmpl w:val="784A555E"/>
    <w:lvl w:ilvl="0" w:tplc="59C6774C">
      <w:start w:val="1"/>
      <w:numFmt w:val="lowerLetter"/>
      <w:lvlText w:val="%1)"/>
      <w:lvlJc w:val="left"/>
      <w:pPr>
        <w:tabs>
          <w:tab w:val="num" w:pos="720"/>
        </w:tabs>
        <w:ind w:left="720" w:hanging="360"/>
      </w:pPr>
      <w:rPr>
        <w:rFonts w:hint="default"/>
      </w:rPr>
    </w:lvl>
    <w:lvl w:ilvl="1" w:tplc="116A72DA">
      <w:start w:val="1"/>
      <w:numFmt w:val="bullet"/>
      <w:lvlText w:val=""/>
      <w:lvlJc w:val="left"/>
      <w:pPr>
        <w:tabs>
          <w:tab w:val="num" w:pos="1590"/>
        </w:tabs>
        <w:ind w:left="1534" w:hanging="454"/>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BC57921"/>
    <w:multiLevelType w:val="hybridMultilevel"/>
    <w:tmpl w:val="AC1C38DC"/>
    <w:lvl w:ilvl="0" w:tplc="116A72DA">
      <w:start w:val="1"/>
      <w:numFmt w:val="bullet"/>
      <w:lvlText w:val=""/>
      <w:lvlJc w:val="left"/>
      <w:pPr>
        <w:tabs>
          <w:tab w:val="num" w:pos="510"/>
        </w:tabs>
        <w:ind w:left="454" w:hanging="45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C4E8D"/>
    <w:rsid w:val="000016B5"/>
    <w:rsid w:val="000154DB"/>
    <w:rsid w:val="000918DB"/>
    <w:rsid w:val="000C4E8D"/>
    <w:rsid w:val="000E2C92"/>
    <w:rsid w:val="00123745"/>
    <w:rsid w:val="00153839"/>
    <w:rsid w:val="00165EA0"/>
    <w:rsid w:val="002209F3"/>
    <w:rsid w:val="002B3720"/>
    <w:rsid w:val="002B3921"/>
    <w:rsid w:val="00305C56"/>
    <w:rsid w:val="003A6873"/>
    <w:rsid w:val="003D6DEF"/>
    <w:rsid w:val="00465A4A"/>
    <w:rsid w:val="00466E18"/>
    <w:rsid w:val="004770CD"/>
    <w:rsid w:val="00486D84"/>
    <w:rsid w:val="004D1596"/>
    <w:rsid w:val="004D5CF7"/>
    <w:rsid w:val="004E7838"/>
    <w:rsid w:val="00531132"/>
    <w:rsid w:val="00541227"/>
    <w:rsid w:val="0058470D"/>
    <w:rsid w:val="0059452D"/>
    <w:rsid w:val="005C1F3F"/>
    <w:rsid w:val="005F7F96"/>
    <w:rsid w:val="00647879"/>
    <w:rsid w:val="0067798F"/>
    <w:rsid w:val="006F6ECA"/>
    <w:rsid w:val="007313D7"/>
    <w:rsid w:val="007B3146"/>
    <w:rsid w:val="00877BB2"/>
    <w:rsid w:val="008B2F29"/>
    <w:rsid w:val="008D6C1F"/>
    <w:rsid w:val="009407A1"/>
    <w:rsid w:val="0094532A"/>
    <w:rsid w:val="00950338"/>
    <w:rsid w:val="00980521"/>
    <w:rsid w:val="009A562D"/>
    <w:rsid w:val="00AC44E0"/>
    <w:rsid w:val="00AD39B1"/>
    <w:rsid w:val="00B17DFB"/>
    <w:rsid w:val="00B729D0"/>
    <w:rsid w:val="00BC68D7"/>
    <w:rsid w:val="00C2456F"/>
    <w:rsid w:val="00CB1746"/>
    <w:rsid w:val="00CD7993"/>
    <w:rsid w:val="00D86323"/>
    <w:rsid w:val="00DA7276"/>
    <w:rsid w:val="00DD57D0"/>
    <w:rsid w:val="00E1081C"/>
    <w:rsid w:val="00F16A1B"/>
    <w:rsid w:val="00F44DB5"/>
    <w:rsid w:val="00F52270"/>
    <w:rsid w:val="00F5392C"/>
    <w:rsid w:val="00F9039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2">
    <w:name w:val="heading 2"/>
    <w:basedOn w:val="Normal"/>
    <w:next w:val="Normal"/>
    <w:link w:val="Ttulo2Car"/>
    <w:qFormat/>
    <w:rsid w:val="0059452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4D1596"/>
    <w:pPr>
      <w:tabs>
        <w:tab w:val="center" w:pos="4419"/>
        <w:tab w:val="right" w:pos="8838"/>
      </w:tabs>
    </w:pPr>
  </w:style>
  <w:style w:type="character" w:customStyle="1" w:styleId="PiedepginaCar">
    <w:name w:val="Pie de página Car"/>
    <w:basedOn w:val="Fuentedeprrafopredeter"/>
    <w:link w:val="Piedepgina"/>
    <w:uiPriority w:val="99"/>
    <w:semiHidden/>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B3720"/>
    <w:pPr>
      <w:ind w:left="708"/>
    </w:pPr>
  </w:style>
  <w:style w:type="paragraph" w:styleId="Sangradetextonormal">
    <w:name w:val="Body Text Indent"/>
    <w:basedOn w:val="Normal"/>
    <w:link w:val="SangradetextonormalCar"/>
    <w:uiPriority w:val="99"/>
    <w:semiHidden/>
    <w:unhideWhenUsed/>
    <w:rsid w:val="0059452D"/>
    <w:pPr>
      <w:spacing w:after="120"/>
      <w:ind w:left="283"/>
    </w:pPr>
  </w:style>
  <w:style w:type="character" w:customStyle="1" w:styleId="SangradetextonormalCar">
    <w:name w:val="Sangría de texto normal Car"/>
    <w:basedOn w:val="Fuentedeprrafopredeter"/>
    <w:link w:val="Sangradetextonormal"/>
    <w:uiPriority w:val="99"/>
    <w:semiHidden/>
    <w:rsid w:val="0059452D"/>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59452D"/>
    <w:rPr>
      <w:rFonts w:ascii="Arial" w:eastAsia="Times New Roman" w:hAnsi="Arial" w:cs="Arial"/>
      <w:b/>
      <w:bCs/>
      <w:i/>
      <w:iCs/>
      <w:sz w:val="28"/>
      <w:szCs w:val="28"/>
      <w:lang w:val="es-ES" w:eastAsia="es-ES"/>
    </w:rPr>
  </w:style>
  <w:style w:type="character" w:styleId="Refdecomentario">
    <w:name w:val="annotation reference"/>
    <w:basedOn w:val="Fuentedeprrafopredeter"/>
    <w:uiPriority w:val="99"/>
    <w:semiHidden/>
    <w:unhideWhenUsed/>
    <w:rsid w:val="00F5392C"/>
    <w:rPr>
      <w:sz w:val="16"/>
      <w:szCs w:val="16"/>
    </w:rPr>
  </w:style>
  <w:style w:type="paragraph" w:styleId="Textocomentario">
    <w:name w:val="annotation text"/>
    <w:basedOn w:val="Normal"/>
    <w:link w:val="TextocomentarioCar"/>
    <w:uiPriority w:val="99"/>
    <w:semiHidden/>
    <w:unhideWhenUsed/>
    <w:rsid w:val="00F5392C"/>
    <w:rPr>
      <w:sz w:val="20"/>
      <w:szCs w:val="20"/>
    </w:rPr>
  </w:style>
  <w:style w:type="character" w:customStyle="1" w:styleId="TextocomentarioCar">
    <w:name w:val="Texto comentario Car"/>
    <w:basedOn w:val="Fuentedeprrafopredeter"/>
    <w:link w:val="Textocomentario"/>
    <w:uiPriority w:val="99"/>
    <w:semiHidden/>
    <w:rsid w:val="00F5392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5392C"/>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92C"/>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1598</Words>
  <Characters>8792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ldanderino</cp:lastModifiedBy>
  <cp:revision>40</cp:revision>
  <dcterms:created xsi:type="dcterms:W3CDTF">2013-12-09T17:05:00Z</dcterms:created>
  <dcterms:modified xsi:type="dcterms:W3CDTF">2013-12-20T22:08:00Z</dcterms:modified>
</cp:coreProperties>
</file>